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69A951">
      <w:pPr>
        <w:pStyle w:val="38"/>
      </w:pPr>
      <w:r>
        <w:t>INTERNATIONAL PETROLEUM ACCOUNTING (OGS 604) LEVEL 6&amp;7 3</w:t>
      </w:r>
      <w:r>
        <w:rPr>
          <w:vertAlign w:val="superscript"/>
        </w:rPr>
        <w:t>RD</w:t>
      </w:r>
      <w:r>
        <w:t xml:space="preserve"> SEMESTER</w:t>
      </w:r>
    </w:p>
    <w:p w14:paraId="78B42B4F">
      <w:pPr>
        <w:pStyle w:val="34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Upstream petroleum operations primarily involve:</w:t>
      </w:r>
    </w:p>
    <w:p w14:paraId="763BBCBC">
      <w:pPr>
        <w:pStyle w:val="34"/>
        <w:rPr>
          <w:color w:val="1B1C1D"/>
        </w:rPr>
      </w:pPr>
      <w:r>
        <w:rPr>
          <w:color w:val="1B1C1D"/>
        </w:rPr>
        <w:t>a) Refining crude oil into petroleum products.</w:t>
      </w:r>
    </w:p>
    <w:p w14:paraId="6354C50C">
      <w:pPr>
        <w:pStyle w:val="34"/>
        <w:rPr>
          <w:color w:val="1B1C1D"/>
        </w:rPr>
      </w:pPr>
      <w:r>
        <w:rPr>
          <w:color w:val="1B1C1D"/>
        </w:rPr>
        <w:t>b) Marketing and distributing petroleum products.</w:t>
      </w:r>
    </w:p>
    <w:p w14:paraId="63172FE1">
      <w:pPr>
        <w:pStyle w:val="34"/>
        <w:rPr>
          <w:color w:val="1B1C1D"/>
        </w:rPr>
      </w:pPr>
      <w:r>
        <w:rPr>
          <w:color w:val="1B1C1D"/>
        </w:rPr>
        <w:t xml:space="preserve">c) Exploration, development, and production of crude oil and natural gas.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550B706A">
      <w:pPr>
        <w:pStyle w:val="34"/>
        <w:rPr>
          <w:color w:val="1B1C1D"/>
        </w:rPr>
      </w:pPr>
      <w:r>
        <w:rPr>
          <w:color w:val="1B1C1D"/>
        </w:rPr>
        <w:t>d) Transportation of petroleum products via pipelines.</w:t>
      </w:r>
    </w:p>
    <w:p w14:paraId="5580DEE0">
      <w:pPr>
        <w:pStyle w:val="34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The exploration phase of upstream operations includes activities aimed at:</w:t>
      </w:r>
    </w:p>
    <w:p w14:paraId="6D85507A">
      <w:pPr>
        <w:pStyle w:val="34"/>
        <w:rPr>
          <w:color w:val="1B1C1D"/>
        </w:rPr>
      </w:pPr>
      <w:r>
        <w:rPr>
          <w:color w:val="1B1C1D"/>
        </w:rPr>
        <w:t>a) Extracting oil and gas from known reservoirs.</w:t>
      </w:r>
    </w:p>
    <w:p w14:paraId="2CBE39ED">
      <w:pPr>
        <w:pStyle w:val="34"/>
        <w:rPr>
          <w:color w:val="1B1C1D"/>
        </w:rPr>
      </w:pPr>
      <w:r>
        <w:rPr>
          <w:color w:val="1B1C1D"/>
        </w:rPr>
        <w:t xml:space="preserve">b) Identifying potential hydrocarbon-bearing formations.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54F32C4A">
      <w:pPr>
        <w:pStyle w:val="34"/>
        <w:rPr>
          <w:color w:val="1B1C1D"/>
        </w:rPr>
      </w:pPr>
      <w:r>
        <w:rPr>
          <w:color w:val="1B1C1D"/>
        </w:rPr>
        <w:t>c) Constructing pipelines and storage facilities.</w:t>
      </w:r>
    </w:p>
    <w:p w14:paraId="1F8CAEF3">
      <w:pPr>
        <w:pStyle w:val="34"/>
        <w:rPr>
          <w:color w:val="1B1C1D"/>
        </w:rPr>
      </w:pPr>
      <w:r>
        <w:rPr>
          <w:color w:val="1B1C1D"/>
        </w:rPr>
        <w:t>d) Selling crude oil to refineries.</w:t>
      </w:r>
    </w:p>
    <w:p w14:paraId="33822EAA">
      <w:pPr>
        <w:pStyle w:val="34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The development phase focuses on:</w:t>
      </w:r>
    </w:p>
    <w:p w14:paraId="5AE5D3EC">
      <w:pPr>
        <w:pStyle w:val="34"/>
        <w:rPr>
          <w:color w:val="1B1C1D"/>
        </w:rPr>
      </w:pPr>
      <w:r>
        <w:rPr>
          <w:color w:val="1B1C1D"/>
        </w:rPr>
        <w:t>a) Searching for new oil and gas fields.</w:t>
      </w:r>
    </w:p>
    <w:p w14:paraId="6E438E98">
      <w:pPr>
        <w:pStyle w:val="34"/>
        <w:rPr>
          <w:color w:val="1B1C1D"/>
        </w:rPr>
      </w:pPr>
      <w:r>
        <w:rPr>
          <w:color w:val="1B1C1D"/>
        </w:rPr>
        <w:t xml:space="preserve">b) Preparing discovered reserves for production.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7FBDB35A">
      <w:pPr>
        <w:pStyle w:val="34"/>
        <w:rPr>
          <w:color w:val="1B1C1D"/>
        </w:rPr>
      </w:pPr>
      <w:r>
        <w:rPr>
          <w:color w:val="1B1C1D"/>
        </w:rPr>
        <w:t>c) Processing natural gas.</w:t>
      </w:r>
    </w:p>
    <w:p w14:paraId="41B63D07">
      <w:pPr>
        <w:pStyle w:val="34"/>
        <w:rPr>
          <w:color w:val="1B1C1D"/>
        </w:rPr>
      </w:pPr>
      <w:r>
        <w:rPr>
          <w:color w:val="1B1C1D"/>
        </w:rPr>
        <w:t>d) Closing down producing wells.</w:t>
      </w:r>
    </w:p>
    <w:p w14:paraId="1CE8FEEF">
      <w:pPr>
        <w:pStyle w:val="34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The production phase involves:</w:t>
      </w:r>
    </w:p>
    <w:p w14:paraId="706FA3C1">
      <w:pPr>
        <w:pStyle w:val="34"/>
        <w:rPr>
          <w:color w:val="1B1C1D"/>
        </w:rPr>
      </w:pPr>
      <w:r>
        <w:rPr>
          <w:color w:val="1B1C1D"/>
        </w:rPr>
        <w:t>a) Drilling exploratory wells.</w:t>
      </w:r>
    </w:p>
    <w:p w14:paraId="695D7509">
      <w:pPr>
        <w:pStyle w:val="34"/>
        <w:rPr>
          <w:color w:val="1B1C1D"/>
        </w:rPr>
      </w:pPr>
      <w:r>
        <w:rPr>
          <w:color w:val="1B1C1D"/>
        </w:rPr>
        <w:t xml:space="preserve">b) Extracting and bringing oil and gas to the surface.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66730597">
      <w:pPr>
        <w:pStyle w:val="34"/>
        <w:rPr>
          <w:color w:val="1B1C1D"/>
        </w:rPr>
      </w:pPr>
      <w:r>
        <w:rPr>
          <w:color w:val="1B1C1D"/>
        </w:rPr>
        <w:t>c) Conducting seismic surveys.</w:t>
      </w:r>
    </w:p>
    <w:p w14:paraId="1086A17D">
      <w:pPr>
        <w:pStyle w:val="34"/>
        <w:rPr>
          <w:color w:val="1B1C1D"/>
        </w:rPr>
      </w:pPr>
      <w:r>
        <w:rPr>
          <w:color w:val="1B1C1D"/>
        </w:rPr>
        <w:t>d) Acquiring petroleum licenses.</w:t>
      </w:r>
    </w:p>
    <w:p w14:paraId="4EFF2EDC">
      <w:pPr>
        <w:pStyle w:val="34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A production sharing contract (PSC) is an agreement between:</w:t>
      </w:r>
    </w:p>
    <w:p w14:paraId="2819D21F">
      <w:pPr>
        <w:pStyle w:val="34"/>
        <w:rPr>
          <w:color w:val="1B1C1D"/>
        </w:rPr>
      </w:pPr>
      <w:r>
        <w:rPr>
          <w:color w:val="1B1C1D"/>
        </w:rPr>
        <w:t>a) Two private oil companies.</w:t>
      </w:r>
    </w:p>
    <w:p w14:paraId="3BE1EB86">
      <w:pPr>
        <w:pStyle w:val="34"/>
        <w:rPr>
          <w:color w:val="1B1C1D"/>
        </w:rPr>
      </w:pPr>
      <w:r>
        <w:rPr>
          <w:color w:val="1B1C1D"/>
        </w:rPr>
        <w:t xml:space="preserve">b) An oil company and a host government, outlining the terms of exploration and production.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04ED6B2E">
      <w:pPr>
        <w:pStyle w:val="34"/>
        <w:rPr>
          <w:color w:val="1B1C1D"/>
        </w:rPr>
      </w:pPr>
      <w:r>
        <w:rPr>
          <w:color w:val="1B1C1D"/>
        </w:rPr>
        <w:t>c) An oil company and its shareholders.</w:t>
      </w:r>
    </w:p>
    <w:p w14:paraId="1CACDB60">
      <w:pPr>
        <w:pStyle w:val="34"/>
        <w:rPr>
          <w:color w:val="1B1C1D"/>
        </w:rPr>
      </w:pPr>
      <w:r>
        <w:rPr>
          <w:color w:val="1B1C1D"/>
        </w:rPr>
        <w:t>d) A refinery and a marketing company.</w:t>
      </w:r>
    </w:p>
    <w:p w14:paraId="26440F00">
      <w:pPr>
        <w:pStyle w:val="34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A concession agreement typically grants an oil company:</w:t>
      </w:r>
    </w:p>
    <w:p w14:paraId="3ADF434D">
      <w:pPr>
        <w:pStyle w:val="34"/>
        <w:rPr>
          <w:color w:val="1B1C1D"/>
        </w:rPr>
      </w:pPr>
      <w:r>
        <w:rPr>
          <w:color w:val="1B1C1D"/>
        </w:rPr>
        <w:t xml:space="preserve">a) Ownership of the oil and gas produced.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3354F123">
      <w:pPr>
        <w:pStyle w:val="34"/>
        <w:rPr>
          <w:color w:val="1B1C1D"/>
        </w:rPr>
      </w:pPr>
      <w:r>
        <w:rPr>
          <w:color w:val="1B1C1D"/>
        </w:rPr>
        <w:t>b) A share of the oil and gas produced.</w:t>
      </w:r>
    </w:p>
    <w:p w14:paraId="5A964436">
      <w:pPr>
        <w:pStyle w:val="34"/>
        <w:rPr>
          <w:color w:val="1B1C1D"/>
        </w:rPr>
      </w:pPr>
      <w:r>
        <w:rPr>
          <w:color w:val="1B1C1D"/>
        </w:rPr>
        <w:t>c) A right to explore only.</w:t>
      </w:r>
    </w:p>
    <w:p w14:paraId="3427E121">
      <w:pPr>
        <w:pStyle w:val="34"/>
        <w:rPr>
          <w:color w:val="1B1C1D"/>
        </w:rPr>
      </w:pPr>
      <w:r>
        <w:rPr>
          <w:color w:val="1B1C1D"/>
        </w:rPr>
        <w:t>d) A right to refine only.</w:t>
      </w:r>
    </w:p>
    <w:p w14:paraId="3E361A97">
      <w:pPr>
        <w:pStyle w:val="34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Joint ventures are common in upstream operations to:</w:t>
      </w:r>
    </w:p>
    <w:p w14:paraId="4194F46E">
      <w:pPr>
        <w:pStyle w:val="34"/>
        <w:rPr>
          <w:color w:val="1B1C1D"/>
        </w:rPr>
      </w:pPr>
      <w:r>
        <w:rPr>
          <w:color w:val="1B1C1D"/>
        </w:rPr>
        <w:t>a) Avoid paying taxes.</w:t>
      </w:r>
    </w:p>
    <w:p w14:paraId="062B68BE">
      <w:pPr>
        <w:pStyle w:val="34"/>
        <w:rPr>
          <w:color w:val="1B1C1D"/>
        </w:rPr>
      </w:pPr>
      <w:r>
        <w:rPr>
          <w:color w:val="1B1C1D"/>
        </w:rPr>
        <w:t xml:space="preserve">b) Share risks and costs among multiple companies.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2767F1B6">
      <w:pPr>
        <w:pStyle w:val="34"/>
        <w:rPr>
          <w:color w:val="1B1C1D"/>
        </w:rPr>
      </w:pPr>
      <w:r>
        <w:rPr>
          <w:color w:val="1B1C1D"/>
        </w:rPr>
        <w:t>c) Monopolize the industry.</w:t>
      </w:r>
    </w:p>
    <w:p w14:paraId="1AF58B36">
      <w:pPr>
        <w:pStyle w:val="34"/>
        <w:rPr>
          <w:color w:val="1B1C1D"/>
        </w:rPr>
      </w:pPr>
      <w:r>
        <w:rPr>
          <w:color w:val="1B1C1D"/>
        </w:rPr>
        <w:t>d) Reduce regulatory oversight.</w:t>
      </w:r>
    </w:p>
    <w:p w14:paraId="2FA586B9">
      <w:pPr>
        <w:pStyle w:val="34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Well workovers are activities performed on existing wells to:</w:t>
      </w:r>
    </w:p>
    <w:p w14:paraId="0C8BA343">
      <w:pPr>
        <w:pStyle w:val="34"/>
        <w:rPr>
          <w:color w:val="1B1C1D"/>
        </w:rPr>
      </w:pPr>
      <w:r>
        <w:rPr>
          <w:color w:val="1B1C1D"/>
        </w:rPr>
        <w:t>a) Abandon them permanently.</w:t>
      </w:r>
    </w:p>
    <w:p w14:paraId="4F230C29">
      <w:pPr>
        <w:pStyle w:val="34"/>
        <w:rPr>
          <w:color w:val="1B1C1D"/>
        </w:rPr>
      </w:pPr>
      <w:r>
        <w:rPr>
          <w:color w:val="1B1C1D"/>
        </w:rPr>
        <w:t xml:space="preserve">b) Enhance or restore their production.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5FEBE008">
      <w:pPr>
        <w:pStyle w:val="34"/>
        <w:rPr>
          <w:color w:val="1B1C1D"/>
        </w:rPr>
      </w:pPr>
      <w:r>
        <w:rPr>
          <w:color w:val="1B1C1D"/>
        </w:rPr>
        <w:t>c) Drill deeper into new formations.</w:t>
      </w:r>
    </w:p>
    <w:p w14:paraId="0C52EBFF">
      <w:pPr>
        <w:pStyle w:val="34"/>
        <w:rPr>
          <w:color w:val="1B1C1D"/>
        </w:rPr>
      </w:pPr>
      <w:r>
        <w:rPr>
          <w:color w:val="1B1C1D"/>
        </w:rPr>
        <w:t>d) Plug leaks in pipelines.</w:t>
      </w:r>
    </w:p>
    <w:p w14:paraId="1CA943CE">
      <w:pPr>
        <w:pStyle w:val="34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Enhanced oil recovery (EOR) techniques are used to:</w:t>
      </w:r>
    </w:p>
    <w:p w14:paraId="128C9FE0">
      <w:pPr>
        <w:pStyle w:val="34"/>
        <w:rPr>
          <w:color w:val="1B1C1D"/>
        </w:rPr>
      </w:pPr>
      <w:r>
        <w:rPr>
          <w:color w:val="1B1C1D"/>
        </w:rPr>
        <w:t>a) Discover new oil fields.</w:t>
      </w:r>
    </w:p>
    <w:p w14:paraId="56F4C325">
      <w:pPr>
        <w:pStyle w:val="34"/>
        <w:rPr>
          <w:color w:val="1B1C1D"/>
        </w:rPr>
      </w:pPr>
      <w:r>
        <w:rPr>
          <w:color w:val="1B1C1D"/>
        </w:rPr>
        <w:t xml:space="preserve">b) Extract oil that cannot be recovered through primary or secondary methods.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6AE306F3">
      <w:pPr>
        <w:pStyle w:val="34"/>
        <w:rPr>
          <w:color w:val="1B1C1D"/>
        </w:rPr>
      </w:pPr>
      <w:r>
        <w:rPr>
          <w:color w:val="1B1C1D"/>
        </w:rPr>
        <w:t>c) Reduce the cost of drilling.</w:t>
      </w:r>
    </w:p>
    <w:p w14:paraId="40AA4DE8">
      <w:pPr>
        <w:pStyle w:val="34"/>
        <w:rPr>
          <w:color w:val="1B1C1D"/>
        </w:rPr>
      </w:pPr>
      <w:r>
        <w:rPr>
          <w:color w:val="1B1C1D"/>
        </w:rPr>
        <w:t>d) Transport oil more efficiently.</w:t>
      </w:r>
    </w:p>
    <w:p w14:paraId="2809EB2E">
      <w:pPr>
        <w:pStyle w:val="34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Decommissioning and abandonment of oil and gas facilities involve:</w:t>
      </w:r>
    </w:p>
    <w:p w14:paraId="35B454E4">
      <w:pPr>
        <w:pStyle w:val="34"/>
        <w:rPr>
          <w:color w:val="1B1C1D"/>
        </w:rPr>
      </w:pPr>
      <w:r>
        <w:rPr>
          <w:color w:val="1B1C1D"/>
        </w:rPr>
        <w:t>a) Expanding production capacity.</w:t>
      </w:r>
    </w:p>
    <w:p w14:paraId="28CBA904">
      <w:pPr>
        <w:pStyle w:val="34"/>
        <w:rPr>
          <w:color w:val="1B1C1D"/>
        </w:rPr>
      </w:pPr>
      <w:r>
        <w:rPr>
          <w:color w:val="1B1C1D"/>
        </w:rPr>
        <w:t xml:space="preserve">b) Safely closing and dismantling wells and infrastructure at the end of their productive life.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29F8292A">
      <w:pPr>
        <w:pStyle w:val="34"/>
        <w:rPr>
          <w:color w:val="1B1C1D"/>
        </w:rPr>
      </w:pPr>
      <w:r>
        <w:rPr>
          <w:color w:val="1B1C1D"/>
        </w:rPr>
        <w:t>c) Selling the assets to another company.</w:t>
      </w:r>
    </w:p>
    <w:p w14:paraId="53B14FB2">
      <w:pPr>
        <w:pStyle w:val="34"/>
        <w:rPr>
          <w:color w:val="1B1C1D"/>
        </w:rPr>
      </w:pPr>
      <w:r>
        <w:rPr>
          <w:color w:val="1B1C1D"/>
        </w:rPr>
        <w:t>d) Leaving the facilities in place.</w:t>
      </w:r>
    </w:p>
    <w:p w14:paraId="6C6D6059">
      <w:pPr>
        <w:pStyle w:val="34"/>
        <w:spacing w:after="0" w:afterAutospacing="0"/>
        <w:rPr>
          <w:color w:val="1B1C1D"/>
        </w:rPr>
      </w:pPr>
      <w:r>
        <w:rPr>
          <w:rStyle w:val="35"/>
          <w:b w:val="0"/>
          <w:bCs w:val="0"/>
          <w:color w:val="1B1C1D"/>
        </w:rPr>
        <w:t>Section 2: Industry Accounting Practices</w:t>
      </w:r>
    </w:p>
    <w:p w14:paraId="05EC6F64">
      <w:pPr>
        <w:pStyle w:val="34"/>
        <w:numPr>
          <w:ilvl w:val="0"/>
          <w:numId w:val="8"/>
        </w:numPr>
        <w:ind w:left="0"/>
        <w:rPr>
          <w:color w:val="1B1C1D"/>
        </w:rPr>
      </w:pPr>
      <w:r>
        <w:rPr>
          <w:color w:val="1B1C1D"/>
        </w:rPr>
        <w:t>A key challenge in petroleum accounting is dealing with the high:</w:t>
      </w:r>
    </w:p>
    <w:p w14:paraId="117419C8">
      <w:pPr>
        <w:pStyle w:val="34"/>
        <w:rPr>
          <w:color w:val="1B1C1D"/>
        </w:rPr>
      </w:pPr>
      <w:r>
        <w:rPr>
          <w:color w:val="1B1C1D"/>
        </w:rPr>
        <w:t>a) Revenue generated.</w:t>
      </w:r>
    </w:p>
    <w:p w14:paraId="242CF8C5">
      <w:pPr>
        <w:pStyle w:val="34"/>
        <w:rPr>
          <w:color w:val="1B1C1D"/>
        </w:rPr>
      </w:pPr>
      <w:r>
        <w:rPr>
          <w:color w:val="1B1C1D"/>
        </w:rPr>
        <w:t xml:space="preserve">b) Capital investment and long project lifecycles.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3EEA7CF9">
      <w:pPr>
        <w:pStyle w:val="34"/>
        <w:rPr>
          <w:color w:val="1B1C1D"/>
        </w:rPr>
      </w:pPr>
      <w:r>
        <w:rPr>
          <w:color w:val="1B1C1D"/>
        </w:rPr>
        <w:t>c) Number of employees.</w:t>
      </w:r>
    </w:p>
    <w:p w14:paraId="02820EE8">
      <w:pPr>
        <w:pStyle w:val="34"/>
        <w:rPr>
          <w:color w:val="1B1C1D"/>
        </w:rPr>
      </w:pPr>
      <w:r>
        <w:rPr>
          <w:color w:val="1B1C1D"/>
        </w:rPr>
        <w:t>d) Frequency of transactions.</w:t>
      </w:r>
    </w:p>
    <w:p w14:paraId="2EF04B58">
      <w:pPr>
        <w:pStyle w:val="34"/>
        <w:numPr>
          <w:ilvl w:val="0"/>
          <w:numId w:val="8"/>
        </w:numPr>
        <w:ind w:left="0"/>
        <w:rPr>
          <w:color w:val="1B1C1D"/>
        </w:rPr>
      </w:pPr>
      <w:r>
        <w:rPr>
          <w:color w:val="1B1C1D"/>
        </w:rPr>
        <w:t>The matching principle in accounting is particularly complex in the oil and gas industry due to the:</w:t>
      </w:r>
    </w:p>
    <w:p w14:paraId="3F61E0B8">
      <w:pPr>
        <w:pStyle w:val="34"/>
        <w:rPr>
          <w:color w:val="1B1C1D"/>
        </w:rPr>
      </w:pPr>
      <w:r>
        <w:rPr>
          <w:color w:val="1B1C1D"/>
        </w:rPr>
        <w:t>a) Predictable nature of production.</w:t>
      </w:r>
    </w:p>
    <w:p w14:paraId="6A26FF36">
      <w:pPr>
        <w:pStyle w:val="34"/>
        <w:rPr>
          <w:color w:val="1B1C1D"/>
        </w:rPr>
      </w:pPr>
      <w:r>
        <w:rPr>
          <w:color w:val="1B1C1D"/>
        </w:rPr>
        <w:t xml:space="preserve">b) Long time lag between exploration costs and potential revenue.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67EFCF25">
      <w:pPr>
        <w:pStyle w:val="34"/>
        <w:rPr>
          <w:color w:val="1B1C1D"/>
        </w:rPr>
      </w:pPr>
      <w:r>
        <w:rPr>
          <w:color w:val="1B1C1D"/>
        </w:rPr>
        <w:t>c) Standardized pricing of crude oil.</w:t>
      </w:r>
    </w:p>
    <w:p w14:paraId="1B82D00A">
      <w:pPr>
        <w:pStyle w:val="34"/>
        <w:rPr>
          <w:color w:val="1B1C1D"/>
        </w:rPr>
      </w:pPr>
      <w:r>
        <w:rPr>
          <w:color w:val="1B1C1D"/>
        </w:rPr>
        <w:t>d) Simple ownership structures.</w:t>
      </w:r>
    </w:p>
    <w:p w14:paraId="40D9F7FF">
      <w:pPr>
        <w:pStyle w:val="34"/>
        <w:numPr>
          <w:ilvl w:val="0"/>
          <w:numId w:val="8"/>
        </w:numPr>
        <w:ind w:left="0"/>
        <w:rPr>
          <w:color w:val="1B1C1D"/>
        </w:rPr>
      </w:pPr>
      <w:r>
        <w:rPr>
          <w:color w:val="1B1C1D"/>
        </w:rPr>
        <w:t>The concept of a "cost center" is often used to accumulate costs related to:</w:t>
      </w:r>
    </w:p>
    <w:p w14:paraId="21A67F8E">
      <w:pPr>
        <w:pStyle w:val="34"/>
        <w:rPr>
          <w:color w:val="1B1C1D"/>
        </w:rPr>
      </w:pPr>
      <w:r>
        <w:rPr>
          <w:color w:val="1B1C1D"/>
        </w:rPr>
        <w:t>a) Only administrative activities.</w:t>
      </w:r>
    </w:p>
    <w:p w14:paraId="0B224203">
      <w:pPr>
        <w:pStyle w:val="34"/>
        <w:rPr>
          <w:color w:val="1B1C1D"/>
        </w:rPr>
      </w:pPr>
      <w:r>
        <w:rPr>
          <w:color w:val="1B1C1D"/>
        </w:rPr>
        <w:t xml:space="preserve">b) Specific exploration licenses, fields, or production facilities.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19237138">
      <w:pPr>
        <w:pStyle w:val="34"/>
        <w:rPr>
          <w:color w:val="1B1C1D"/>
        </w:rPr>
      </w:pPr>
      <w:r>
        <w:rPr>
          <w:color w:val="1B1C1D"/>
        </w:rPr>
        <w:t>c) The entire company's operations.</w:t>
      </w:r>
    </w:p>
    <w:p w14:paraId="3B38AE56">
      <w:pPr>
        <w:pStyle w:val="34"/>
        <w:rPr>
          <w:color w:val="1B1C1D"/>
        </w:rPr>
      </w:pPr>
      <w:r>
        <w:rPr>
          <w:color w:val="1B1C1D"/>
        </w:rPr>
        <w:t>d) Marketing and distribution.</w:t>
      </w:r>
    </w:p>
    <w:p w14:paraId="7AB50790">
      <w:pPr>
        <w:pStyle w:val="34"/>
        <w:numPr>
          <w:ilvl w:val="0"/>
          <w:numId w:val="8"/>
        </w:numPr>
        <w:ind w:left="0"/>
        <w:rPr>
          <w:color w:val="1B1C1D"/>
        </w:rPr>
      </w:pPr>
      <w:r>
        <w:rPr>
          <w:color w:val="1B1C1D"/>
        </w:rPr>
        <w:t>Capitalization of costs in the upstream sector generally applies to expenditures that:</w:t>
      </w:r>
    </w:p>
    <w:p w14:paraId="78214EAE">
      <w:pPr>
        <w:pStyle w:val="34"/>
        <w:rPr>
          <w:color w:val="1B1C1D"/>
        </w:rPr>
      </w:pPr>
      <w:r>
        <w:rPr>
          <w:color w:val="1B1C1D"/>
        </w:rPr>
        <w:t>a) Benefit only the current accounting period.</w:t>
      </w:r>
    </w:p>
    <w:p w14:paraId="560FD69B">
      <w:pPr>
        <w:pStyle w:val="34"/>
        <w:rPr>
          <w:color w:val="1B1C1D"/>
        </w:rPr>
      </w:pPr>
      <w:r>
        <w:rPr>
          <w:color w:val="1B1C1D"/>
        </w:rPr>
        <w:t xml:space="preserve">b) Provide future economic benefits over more than one accounting period.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0CFA0517">
      <w:pPr>
        <w:pStyle w:val="34"/>
        <w:rPr>
          <w:color w:val="1B1C1D"/>
        </w:rPr>
      </w:pPr>
      <w:r>
        <w:rPr>
          <w:color w:val="1B1C1D"/>
        </w:rPr>
        <w:t>c) Are small and recurring.</w:t>
      </w:r>
    </w:p>
    <w:p w14:paraId="3E6219AD">
      <w:pPr>
        <w:pStyle w:val="34"/>
        <w:rPr>
          <w:color w:val="1B1C1D"/>
        </w:rPr>
      </w:pPr>
      <w:r>
        <w:rPr>
          <w:color w:val="1B1C1D"/>
        </w:rPr>
        <w:t>d) Are related to administrative overhead.</w:t>
      </w:r>
    </w:p>
    <w:p w14:paraId="03EC68AB">
      <w:pPr>
        <w:pStyle w:val="34"/>
        <w:numPr>
          <w:ilvl w:val="0"/>
          <w:numId w:val="8"/>
        </w:numPr>
        <w:ind w:left="0"/>
        <w:rPr>
          <w:color w:val="1B1C1D"/>
        </w:rPr>
      </w:pPr>
      <w:r>
        <w:rPr>
          <w:color w:val="1B1C1D"/>
        </w:rPr>
        <w:t>Amortization in petroleum accounting typically refers to the systematic allocation of the cost of:</w:t>
      </w:r>
    </w:p>
    <w:p w14:paraId="3CF9AFAE">
      <w:pPr>
        <w:pStyle w:val="34"/>
        <w:rPr>
          <w:color w:val="1B1C1D"/>
        </w:rPr>
      </w:pPr>
      <w:r>
        <w:rPr>
          <w:color w:val="1B1C1D"/>
        </w:rPr>
        <w:t>a) Inventory.</w:t>
      </w:r>
    </w:p>
    <w:p w14:paraId="409B7AC4">
      <w:pPr>
        <w:pStyle w:val="34"/>
        <w:rPr>
          <w:color w:val="1B1C1D"/>
        </w:rPr>
      </w:pPr>
      <w:r>
        <w:rPr>
          <w:color w:val="1B1C1D"/>
        </w:rPr>
        <w:t xml:space="preserve">b) Intangible assets like petroleum licenses.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610149D6">
      <w:pPr>
        <w:pStyle w:val="34"/>
        <w:rPr>
          <w:color w:val="1B1C1D"/>
        </w:rPr>
      </w:pPr>
      <w:r>
        <w:rPr>
          <w:color w:val="1B1C1D"/>
        </w:rPr>
        <w:t>c) Operating expenses.</w:t>
      </w:r>
    </w:p>
    <w:p w14:paraId="4C742C9E">
      <w:pPr>
        <w:pStyle w:val="34"/>
        <w:rPr>
          <w:color w:val="1B1C1D"/>
        </w:rPr>
      </w:pPr>
      <w:r>
        <w:rPr>
          <w:color w:val="1B1C1D"/>
        </w:rPr>
        <w:t>d) Financial assets.</w:t>
      </w:r>
    </w:p>
    <w:p w14:paraId="54A75D2A">
      <w:pPr>
        <w:pStyle w:val="34"/>
        <w:numPr>
          <w:ilvl w:val="0"/>
          <w:numId w:val="8"/>
        </w:numPr>
        <w:ind w:left="0"/>
        <w:rPr>
          <w:color w:val="1B1C1D"/>
        </w:rPr>
      </w:pPr>
      <w:r>
        <w:rPr>
          <w:color w:val="1B1C1D"/>
        </w:rPr>
        <w:t>Depreciation in petroleum accounting relates to the allocation of the cost of:</w:t>
      </w:r>
    </w:p>
    <w:p w14:paraId="46492DE5">
      <w:pPr>
        <w:pStyle w:val="34"/>
        <w:rPr>
          <w:color w:val="1B1C1D"/>
        </w:rPr>
      </w:pPr>
      <w:r>
        <w:rPr>
          <w:color w:val="1B1C1D"/>
        </w:rPr>
        <w:t>a) Exploration costs.</w:t>
      </w:r>
    </w:p>
    <w:p w14:paraId="489B2BC8">
      <w:pPr>
        <w:pStyle w:val="34"/>
        <w:rPr>
          <w:color w:val="1B1C1D"/>
        </w:rPr>
      </w:pPr>
      <w:r>
        <w:rPr>
          <w:color w:val="1B1C1D"/>
        </w:rPr>
        <w:t xml:space="preserve">b) Tangible assets like drilling rigs and production platforms.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7A2BEAC1">
      <w:pPr>
        <w:pStyle w:val="34"/>
        <w:rPr>
          <w:color w:val="1B1C1D"/>
        </w:rPr>
      </w:pPr>
      <w:r>
        <w:rPr>
          <w:color w:val="1B1C1D"/>
        </w:rPr>
        <w:t>c) Goodwill.</w:t>
      </w:r>
    </w:p>
    <w:p w14:paraId="2E31A8B7">
      <w:pPr>
        <w:pStyle w:val="34"/>
        <w:rPr>
          <w:color w:val="1B1C1D"/>
        </w:rPr>
      </w:pPr>
      <w:r>
        <w:rPr>
          <w:color w:val="1B1C1D"/>
        </w:rPr>
        <w:t>d) Royalties paid.</w:t>
      </w:r>
    </w:p>
    <w:p w14:paraId="7C803CE6">
      <w:pPr>
        <w:pStyle w:val="34"/>
        <w:numPr>
          <w:ilvl w:val="0"/>
          <w:numId w:val="8"/>
        </w:numPr>
        <w:ind w:left="0"/>
        <w:rPr>
          <w:color w:val="1B1C1D"/>
        </w:rPr>
      </w:pPr>
      <w:r>
        <w:rPr>
          <w:color w:val="1B1C1D"/>
        </w:rPr>
        <w:t>The unit-of-production (UOP) method is commonly used to depreciate/amortize oil and gas assets because it links the expense to:</w:t>
      </w:r>
    </w:p>
    <w:p w14:paraId="1AB69D92">
      <w:pPr>
        <w:pStyle w:val="34"/>
        <w:rPr>
          <w:color w:val="1B1C1D"/>
        </w:rPr>
      </w:pPr>
      <w:r>
        <w:rPr>
          <w:color w:val="1B1C1D"/>
        </w:rPr>
        <w:t>a) The passage of time.</w:t>
      </w:r>
    </w:p>
    <w:p w14:paraId="3C51D41B">
      <w:pPr>
        <w:pStyle w:val="34"/>
        <w:rPr>
          <w:color w:val="1B1C1D"/>
        </w:rPr>
      </w:pPr>
      <w:r>
        <w:rPr>
          <w:color w:val="1B1C1D"/>
        </w:rPr>
        <w:t xml:space="preserve">b) The actual volume of oil and gas produced.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20CD987F">
      <w:pPr>
        <w:pStyle w:val="34"/>
        <w:rPr>
          <w:color w:val="1B1C1D"/>
        </w:rPr>
      </w:pPr>
      <w:r>
        <w:rPr>
          <w:color w:val="1B1C1D"/>
        </w:rPr>
        <w:t>c) The initial cost of the asset.</w:t>
      </w:r>
    </w:p>
    <w:p w14:paraId="33E95AE9">
      <w:pPr>
        <w:pStyle w:val="34"/>
        <w:rPr>
          <w:color w:val="1B1C1D"/>
        </w:rPr>
      </w:pPr>
      <w:r>
        <w:rPr>
          <w:color w:val="1B1C1D"/>
        </w:rPr>
        <w:t>d) The market value of the asset.</w:t>
      </w:r>
    </w:p>
    <w:p w14:paraId="6CD53DF1">
      <w:pPr>
        <w:pStyle w:val="34"/>
        <w:numPr>
          <w:ilvl w:val="0"/>
          <w:numId w:val="8"/>
        </w:numPr>
        <w:ind w:left="0"/>
        <w:rPr>
          <w:color w:val="1B1C1D"/>
        </w:rPr>
      </w:pPr>
      <w:r>
        <w:rPr>
          <w:color w:val="1B1C1D"/>
        </w:rPr>
        <w:t>Provisions for decommissioning and abandonment are recognized:</w:t>
      </w:r>
    </w:p>
    <w:p w14:paraId="22B16B34">
      <w:pPr>
        <w:pStyle w:val="34"/>
        <w:rPr>
          <w:color w:val="1B1C1D"/>
        </w:rPr>
      </w:pPr>
      <w:r>
        <w:rPr>
          <w:color w:val="1B1C1D"/>
        </w:rPr>
        <w:t>a) Only when the well is plugged.</w:t>
      </w:r>
    </w:p>
    <w:p w14:paraId="221492F9">
      <w:pPr>
        <w:pStyle w:val="34"/>
        <w:rPr>
          <w:color w:val="1B1C1D"/>
        </w:rPr>
      </w:pPr>
      <w:r>
        <w:rPr>
          <w:color w:val="1B1C1D"/>
        </w:rPr>
        <w:t xml:space="preserve">b) Over the producing life of the related asset.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74DC064D">
      <w:pPr>
        <w:pStyle w:val="34"/>
        <w:rPr>
          <w:color w:val="1B1C1D"/>
        </w:rPr>
      </w:pPr>
      <w:r>
        <w:rPr>
          <w:color w:val="1B1C1D"/>
        </w:rPr>
        <w:t>c) When the license is acquired.</w:t>
      </w:r>
    </w:p>
    <w:p w14:paraId="7EE1E06C">
      <w:pPr>
        <w:pStyle w:val="34"/>
        <w:rPr>
          <w:color w:val="1B1C1D"/>
        </w:rPr>
      </w:pPr>
      <w:r>
        <w:rPr>
          <w:color w:val="1B1C1D"/>
        </w:rPr>
        <w:t>d) When the environmental impact assessment is completed.</w:t>
      </w:r>
    </w:p>
    <w:p w14:paraId="17BD7B9F">
      <w:pPr>
        <w:pStyle w:val="34"/>
        <w:numPr>
          <w:ilvl w:val="0"/>
          <w:numId w:val="8"/>
        </w:numPr>
        <w:ind w:left="0"/>
        <w:rPr>
          <w:color w:val="1B1C1D"/>
        </w:rPr>
      </w:pPr>
      <w:r>
        <w:rPr>
          <w:color w:val="1B1C1D"/>
        </w:rPr>
        <w:t>Financial control activities in the oil and gas industry are crucial for:</w:t>
      </w:r>
    </w:p>
    <w:p w14:paraId="0F80F359">
      <w:pPr>
        <w:pStyle w:val="34"/>
        <w:rPr>
          <w:color w:val="1B1C1D"/>
        </w:rPr>
      </w:pPr>
      <w:r>
        <w:rPr>
          <w:color w:val="1B1C1D"/>
        </w:rPr>
        <w:t>a) Maximizing production at all costs.</w:t>
      </w:r>
    </w:p>
    <w:p w14:paraId="28F1930B">
      <w:pPr>
        <w:pStyle w:val="34"/>
        <w:rPr>
          <w:color w:val="1B1C1D"/>
        </w:rPr>
      </w:pPr>
      <w:r>
        <w:rPr>
          <w:color w:val="1B1C1D"/>
        </w:rPr>
        <w:t xml:space="preserve">b) Ensuring the integrity of financial reporting and efficient resource management.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5BBE1420">
      <w:pPr>
        <w:pStyle w:val="34"/>
        <w:rPr>
          <w:color w:val="1B1C1D"/>
        </w:rPr>
      </w:pPr>
      <w:r>
        <w:rPr>
          <w:color w:val="1B1C1D"/>
        </w:rPr>
        <w:t>c) Avoiding regulatory scrutiny.</w:t>
      </w:r>
    </w:p>
    <w:p w14:paraId="0CEA3EBB">
      <w:pPr>
        <w:pStyle w:val="34"/>
        <w:rPr>
          <w:color w:val="1B1C1D"/>
        </w:rPr>
      </w:pPr>
      <w:r>
        <w:rPr>
          <w:color w:val="1B1C1D"/>
        </w:rPr>
        <w:t>d) Keeping information secret from stakeholders.</w:t>
      </w:r>
    </w:p>
    <w:p w14:paraId="58118285">
      <w:pPr>
        <w:pStyle w:val="34"/>
        <w:numPr>
          <w:ilvl w:val="0"/>
          <w:numId w:val="8"/>
        </w:numPr>
        <w:ind w:left="0"/>
        <w:rPr>
          <w:color w:val="1B1C1D"/>
        </w:rPr>
      </w:pPr>
      <w:r>
        <w:rPr>
          <w:color w:val="1B1C1D"/>
        </w:rPr>
        <w:t>International Financial Reporting Standards (IFRS) and US GAAP have specific guidance on:</w:t>
      </w:r>
    </w:p>
    <w:p w14:paraId="2B3C6563">
      <w:pPr>
        <w:pStyle w:val="34"/>
        <w:rPr>
          <w:color w:val="1B1C1D"/>
        </w:rPr>
      </w:pPr>
      <w:r>
        <w:rPr>
          <w:color w:val="1B1C1D"/>
        </w:rPr>
        <w:t>a) The color of wellhead equipment.</w:t>
      </w:r>
    </w:p>
    <w:p w14:paraId="269618D2">
      <w:pPr>
        <w:pStyle w:val="34"/>
        <w:rPr>
          <w:color w:val="1B1C1D"/>
        </w:rPr>
      </w:pPr>
      <w:r>
        <w:rPr>
          <w:color w:val="1B1C1D"/>
        </w:rPr>
        <w:t xml:space="preserve">b) Accounting for oil and gas activities.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528111C4">
      <w:pPr>
        <w:pStyle w:val="34"/>
        <w:rPr>
          <w:color w:val="1B1C1D"/>
        </w:rPr>
      </w:pPr>
      <w:r>
        <w:rPr>
          <w:color w:val="1B1C1D"/>
        </w:rPr>
        <w:t>c) The geological properties of reservoirs.</w:t>
      </w:r>
    </w:p>
    <w:p w14:paraId="0EA10382">
      <w:pPr>
        <w:pStyle w:val="34"/>
        <w:rPr>
          <w:color w:val="1B1C1D"/>
        </w:rPr>
      </w:pPr>
      <w:r>
        <w:rPr>
          <w:color w:val="1B1C1D"/>
        </w:rPr>
        <w:t>d) The political stability of host countries.</w:t>
      </w:r>
    </w:p>
    <w:p w14:paraId="4D86B3D8">
      <w:pPr>
        <w:pStyle w:val="34"/>
        <w:spacing w:after="0" w:afterAutospacing="0"/>
        <w:rPr>
          <w:color w:val="1B1C1D"/>
        </w:rPr>
      </w:pPr>
      <w:r>
        <w:rPr>
          <w:rStyle w:val="35"/>
          <w:b w:val="0"/>
          <w:bCs w:val="0"/>
          <w:color w:val="1B1C1D"/>
        </w:rPr>
        <w:t>Section 3: Accounting for Pre-license Prospective Non-Drilling Exploration, and License Acquisition Costs (Successful Efforts)</w:t>
      </w:r>
    </w:p>
    <w:p w14:paraId="0C48A251">
      <w:pPr>
        <w:pStyle w:val="34"/>
        <w:numPr>
          <w:ilvl w:val="0"/>
          <w:numId w:val="9"/>
        </w:numPr>
        <w:ind w:left="0"/>
        <w:rPr>
          <w:color w:val="1B1C1D"/>
        </w:rPr>
      </w:pPr>
      <w:r>
        <w:rPr>
          <w:color w:val="1B1C1D"/>
        </w:rPr>
        <w:t>Under the Successful Efforts method, costs incurred before obtaining a legal right to explore (pre-license prospective costs) are generally:</w:t>
      </w:r>
    </w:p>
    <w:p w14:paraId="0F18C355">
      <w:pPr>
        <w:pStyle w:val="34"/>
        <w:rPr>
          <w:color w:val="1B1C1D"/>
        </w:rPr>
      </w:pPr>
      <w:r>
        <w:rPr>
          <w:color w:val="1B1C1D"/>
        </w:rPr>
        <w:t>a) Capitalized as intangible assets.</w:t>
      </w:r>
    </w:p>
    <w:p w14:paraId="52F7E3AC">
      <w:pPr>
        <w:pStyle w:val="34"/>
        <w:rPr>
          <w:color w:val="1B1C1D"/>
        </w:rPr>
      </w:pPr>
      <w:r>
        <w:rPr>
          <w:color w:val="1B1C1D"/>
        </w:rPr>
        <w:t xml:space="preserve">b) Expensed as incurred.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4C7E5218">
      <w:pPr>
        <w:pStyle w:val="34"/>
        <w:rPr>
          <w:color w:val="1B1C1D"/>
        </w:rPr>
      </w:pPr>
      <w:r>
        <w:rPr>
          <w:color w:val="1B1C1D"/>
        </w:rPr>
        <w:t>c) Deferred and amortized.</w:t>
      </w:r>
    </w:p>
    <w:p w14:paraId="6211BE15">
      <w:pPr>
        <w:pStyle w:val="34"/>
        <w:rPr>
          <w:color w:val="1B1C1D"/>
        </w:rPr>
      </w:pPr>
      <w:r>
        <w:rPr>
          <w:color w:val="1B1C1D"/>
        </w:rPr>
        <w:t>d) Added to the cost of any future licenses.</w:t>
      </w:r>
    </w:p>
    <w:p w14:paraId="47B5937C">
      <w:pPr>
        <w:pStyle w:val="34"/>
        <w:numPr>
          <w:ilvl w:val="0"/>
          <w:numId w:val="9"/>
        </w:numPr>
        <w:ind w:left="0"/>
        <w:rPr>
          <w:color w:val="1B1C1D"/>
        </w:rPr>
      </w:pPr>
      <w:r>
        <w:rPr>
          <w:color w:val="1B1C1D"/>
        </w:rPr>
        <w:t>Examples of pre-license prospective non-drilling exploration costs include:</w:t>
      </w:r>
    </w:p>
    <w:p w14:paraId="2CEC1A4B">
      <w:pPr>
        <w:pStyle w:val="34"/>
        <w:rPr>
          <w:color w:val="1B1C1D"/>
        </w:rPr>
      </w:pPr>
      <w:r>
        <w:rPr>
          <w:color w:val="1B1C1D"/>
        </w:rPr>
        <w:t>a) Costs of drilling exploratory wells.</w:t>
      </w:r>
    </w:p>
    <w:p w14:paraId="5A44C3A0">
      <w:pPr>
        <w:pStyle w:val="34"/>
        <w:rPr>
          <w:color w:val="1B1C1D"/>
        </w:rPr>
      </w:pPr>
      <w:r>
        <w:rPr>
          <w:color w:val="1B1C1D"/>
        </w:rPr>
        <w:t xml:space="preserve">b) Costs of seismic surveys conducted before a license is acquired.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0D6285D6">
      <w:pPr>
        <w:pStyle w:val="34"/>
        <w:rPr>
          <w:color w:val="1B1C1D"/>
        </w:rPr>
      </w:pPr>
      <w:r>
        <w:rPr>
          <w:color w:val="1B1C1D"/>
        </w:rPr>
        <w:t>c) Legal fees for license acquisition.</w:t>
      </w:r>
    </w:p>
    <w:p w14:paraId="25896BEB">
      <w:pPr>
        <w:pStyle w:val="34"/>
        <w:rPr>
          <w:color w:val="1B1C1D"/>
        </w:rPr>
      </w:pPr>
      <w:r>
        <w:rPr>
          <w:color w:val="1B1C1D"/>
        </w:rPr>
        <w:t>d) Costs of production facilities.</w:t>
      </w:r>
    </w:p>
    <w:p w14:paraId="3C2C85BB">
      <w:pPr>
        <w:pStyle w:val="34"/>
        <w:numPr>
          <w:ilvl w:val="0"/>
          <w:numId w:val="9"/>
        </w:numPr>
        <w:ind w:left="0"/>
        <w:rPr>
          <w:color w:val="1B1C1D"/>
        </w:rPr>
      </w:pPr>
      <w:r>
        <w:rPr>
          <w:color w:val="1B1C1D"/>
        </w:rPr>
        <w:t>License acquisition costs under Successful Efforts are:</w:t>
      </w:r>
    </w:p>
    <w:p w14:paraId="453C5ECB">
      <w:pPr>
        <w:pStyle w:val="34"/>
        <w:rPr>
          <w:color w:val="1B1C1D"/>
        </w:rPr>
      </w:pPr>
      <w:r>
        <w:rPr>
          <w:color w:val="1B1C1D"/>
        </w:rPr>
        <w:t>a) Expensed immediately.</w:t>
      </w:r>
    </w:p>
    <w:p w14:paraId="59B1E44D">
      <w:pPr>
        <w:pStyle w:val="34"/>
        <w:rPr>
          <w:color w:val="1B1C1D"/>
        </w:rPr>
      </w:pPr>
      <w:r>
        <w:rPr>
          <w:color w:val="1B1C1D"/>
        </w:rPr>
        <w:t xml:space="preserve">b) Capitalized as intangible assets and amortized over the license period or the life of the reserves, whichever is shorter.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6EAB05C7">
      <w:pPr>
        <w:pStyle w:val="34"/>
        <w:rPr>
          <w:color w:val="1B1C1D"/>
        </w:rPr>
      </w:pPr>
      <w:r>
        <w:rPr>
          <w:color w:val="1B1C1D"/>
        </w:rPr>
        <w:t>c) Added to exploration expenses.</w:t>
      </w:r>
    </w:p>
    <w:p w14:paraId="5BC80B93">
      <w:pPr>
        <w:pStyle w:val="34"/>
        <w:rPr>
          <w:color w:val="1B1C1D"/>
        </w:rPr>
      </w:pPr>
      <w:r>
        <w:rPr>
          <w:color w:val="1B1C1D"/>
        </w:rPr>
        <w:t>d) Treated as goodwill.</w:t>
      </w:r>
    </w:p>
    <w:p w14:paraId="159D5D1E">
      <w:pPr>
        <w:pStyle w:val="34"/>
        <w:numPr>
          <w:ilvl w:val="0"/>
          <w:numId w:val="9"/>
        </w:numPr>
        <w:ind w:left="0"/>
        <w:rPr>
          <w:color w:val="1B1C1D"/>
        </w:rPr>
      </w:pPr>
      <w:r>
        <w:rPr>
          <w:color w:val="1B1C1D"/>
        </w:rPr>
        <w:t>If a license acquired is subsequently relinquished or expires without resulting in proved reserves, the capitalized acquisition costs are:</w:t>
      </w:r>
    </w:p>
    <w:p w14:paraId="26DB3753">
      <w:pPr>
        <w:pStyle w:val="34"/>
        <w:rPr>
          <w:color w:val="1B1C1D"/>
        </w:rPr>
      </w:pPr>
      <w:r>
        <w:rPr>
          <w:color w:val="1B1C1D"/>
        </w:rPr>
        <w:t>a) Retained as an asset indefinitely.</w:t>
      </w:r>
    </w:p>
    <w:p w14:paraId="6E754FD6">
      <w:pPr>
        <w:pStyle w:val="34"/>
        <w:rPr>
          <w:color w:val="1B1C1D"/>
        </w:rPr>
      </w:pPr>
      <w:r>
        <w:rPr>
          <w:color w:val="1B1C1D"/>
        </w:rPr>
        <w:t xml:space="preserve">b) Written off as an expense.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7DB6E780">
      <w:pPr>
        <w:pStyle w:val="34"/>
        <w:rPr>
          <w:color w:val="1B1C1D"/>
        </w:rPr>
      </w:pPr>
      <w:r>
        <w:rPr>
          <w:color w:val="1B1C1D"/>
        </w:rPr>
        <w:t>c) Transferred to another license.</w:t>
      </w:r>
    </w:p>
    <w:p w14:paraId="54BE0A7B">
      <w:pPr>
        <w:pStyle w:val="34"/>
        <w:rPr>
          <w:color w:val="1B1C1D"/>
        </w:rPr>
      </w:pPr>
      <w:r>
        <w:rPr>
          <w:color w:val="1B1C1D"/>
        </w:rPr>
        <w:t>d) Amortized over a longer period.</w:t>
      </w:r>
    </w:p>
    <w:p w14:paraId="72777E92">
      <w:pPr>
        <w:pStyle w:val="34"/>
        <w:numPr>
          <w:ilvl w:val="0"/>
          <w:numId w:val="9"/>
        </w:numPr>
        <w:ind w:left="0"/>
        <w:rPr>
          <w:color w:val="1B1C1D"/>
        </w:rPr>
      </w:pPr>
      <w:r>
        <w:rPr>
          <w:color w:val="1B1C1D"/>
        </w:rPr>
        <w:t>Geological and geophysical (G&amp;G) survey costs incurred before a specific license is acquired are typically:</w:t>
      </w:r>
    </w:p>
    <w:p w14:paraId="19BC0C80">
      <w:pPr>
        <w:pStyle w:val="34"/>
        <w:rPr>
          <w:color w:val="1B1C1D"/>
        </w:rPr>
      </w:pPr>
      <w:r>
        <w:rPr>
          <w:color w:val="1B1C1D"/>
        </w:rPr>
        <w:t>a) Capitalized if the area is promising.</w:t>
      </w:r>
    </w:p>
    <w:p w14:paraId="2D8CB4FF">
      <w:pPr>
        <w:pStyle w:val="34"/>
        <w:rPr>
          <w:color w:val="1B1C1D"/>
        </w:rPr>
      </w:pPr>
      <w:r>
        <w:rPr>
          <w:color w:val="1B1C1D"/>
        </w:rPr>
        <w:t xml:space="preserve">b) Expensed as incurred under Successful Efforts.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2AA6CBCF">
      <w:pPr>
        <w:pStyle w:val="34"/>
        <w:rPr>
          <w:color w:val="1B1C1D"/>
        </w:rPr>
      </w:pPr>
      <w:r>
        <w:rPr>
          <w:color w:val="1B1C1D"/>
        </w:rPr>
        <w:t>c) Deferred until a license is obtained.</w:t>
      </w:r>
    </w:p>
    <w:p w14:paraId="5F07CD01">
      <w:pPr>
        <w:pStyle w:val="34"/>
        <w:rPr>
          <w:color w:val="1B1C1D"/>
        </w:rPr>
      </w:pPr>
      <w:r>
        <w:rPr>
          <w:color w:val="1B1C1D"/>
        </w:rPr>
        <w:t>d) Allocated to future production costs.</w:t>
      </w:r>
    </w:p>
    <w:p w14:paraId="633FF808">
      <w:pPr>
        <w:pStyle w:val="34"/>
        <w:numPr>
          <w:ilvl w:val="0"/>
          <w:numId w:val="9"/>
        </w:numPr>
        <w:ind w:left="0"/>
        <w:rPr>
          <w:color w:val="1B1C1D"/>
        </w:rPr>
      </w:pPr>
      <w:r>
        <w:rPr>
          <w:color w:val="1B1C1D"/>
        </w:rPr>
        <w:t>The rationale for expensing pre-license costs under Successful Efforts is that:</w:t>
      </w:r>
    </w:p>
    <w:p w14:paraId="6424833E">
      <w:pPr>
        <w:pStyle w:val="34"/>
        <w:rPr>
          <w:color w:val="1B1C1D"/>
        </w:rPr>
      </w:pPr>
      <w:r>
        <w:rPr>
          <w:color w:val="1B1C1D"/>
        </w:rPr>
        <w:t>a) These costs are always immaterial.</w:t>
      </w:r>
    </w:p>
    <w:p w14:paraId="34FCCADF">
      <w:pPr>
        <w:pStyle w:val="34"/>
        <w:rPr>
          <w:color w:val="1B1C1D"/>
        </w:rPr>
      </w:pPr>
      <w:r>
        <w:rPr>
          <w:color w:val="1B1C1D"/>
        </w:rPr>
        <w:t xml:space="preserve">b) There is no direct link to specific future revenue-generating assets until a license is secured.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58482233">
      <w:pPr>
        <w:pStyle w:val="34"/>
        <w:rPr>
          <w:color w:val="1B1C1D"/>
        </w:rPr>
      </w:pPr>
      <w:r>
        <w:rPr>
          <w:color w:val="1B1C1D"/>
        </w:rPr>
        <w:t>c) It simplifies the accounting process.</w:t>
      </w:r>
    </w:p>
    <w:p w14:paraId="17E04E67">
      <w:pPr>
        <w:pStyle w:val="34"/>
        <w:rPr>
          <w:color w:val="1B1C1D"/>
        </w:rPr>
      </w:pPr>
      <w:r>
        <w:rPr>
          <w:color w:val="1B1C1D"/>
        </w:rPr>
        <w:t>d) It is required by all international accounting standards.</w:t>
      </w:r>
    </w:p>
    <w:p w14:paraId="71970F18">
      <w:pPr>
        <w:pStyle w:val="34"/>
        <w:numPr>
          <w:ilvl w:val="0"/>
          <w:numId w:val="9"/>
        </w:numPr>
        <w:ind w:left="0"/>
        <w:rPr>
          <w:color w:val="1B1C1D"/>
        </w:rPr>
      </w:pPr>
      <w:r>
        <w:rPr>
          <w:color w:val="1B1C1D"/>
        </w:rPr>
        <w:t>Costs of obtaining legal rights to explore a specific area are considered:</w:t>
      </w:r>
    </w:p>
    <w:p w14:paraId="220D8C6D">
      <w:pPr>
        <w:pStyle w:val="34"/>
        <w:rPr>
          <w:color w:val="1B1C1D"/>
        </w:rPr>
      </w:pPr>
      <w:r>
        <w:rPr>
          <w:color w:val="1B1C1D"/>
        </w:rPr>
        <w:t>a) Exploration costs under Successful Efforts.</w:t>
      </w:r>
    </w:p>
    <w:p w14:paraId="5BEB51D8">
      <w:pPr>
        <w:pStyle w:val="34"/>
        <w:rPr>
          <w:color w:val="1B1C1D"/>
        </w:rPr>
      </w:pPr>
      <w:r>
        <w:rPr>
          <w:color w:val="1B1C1D"/>
        </w:rPr>
        <w:t xml:space="preserve">b) License acquisition costs under Successful Efforts.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18FEA58D">
      <w:pPr>
        <w:pStyle w:val="34"/>
        <w:rPr>
          <w:color w:val="1B1C1D"/>
        </w:rPr>
      </w:pPr>
      <w:r>
        <w:rPr>
          <w:color w:val="1B1C1D"/>
        </w:rPr>
        <w:t>c) Development costs.</w:t>
      </w:r>
    </w:p>
    <w:p w14:paraId="599BF998">
      <w:pPr>
        <w:pStyle w:val="34"/>
        <w:rPr>
          <w:color w:val="1B1C1D"/>
        </w:rPr>
      </w:pPr>
      <w:r>
        <w:rPr>
          <w:color w:val="1B1C1D"/>
        </w:rPr>
        <w:t>d) Production costs.</w:t>
      </w:r>
    </w:p>
    <w:p w14:paraId="71A59138">
      <w:pPr>
        <w:pStyle w:val="34"/>
        <w:numPr>
          <w:ilvl w:val="0"/>
          <w:numId w:val="9"/>
        </w:numPr>
        <w:ind w:left="0"/>
        <w:rPr>
          <w:color w:val="1B1C1D"/>
        </w:rPr>
      </w:pPr>
      <w:r>
        <w:rPr>
          <w:color w:val="1B1C1D"/>
        </w:rPr>
        <w:t>If a company conducts a G&amp;G survey over a large area, and subsequently acquires licenses for only a portion of that area, the costs of the initial survey related to the unlicensed areas are:</w:t>
      </w:r>
    </w:p>
    <w:p w14:paraId="2A6EE155">
      <w:pPr>
        <w:pStyle w:val="34"/>
        <w:rPr>
          <w:color w:val="1B1C1D"/>
        </w:rPr>
      </w:pPr>
      <w:r>
        <w:rPr>
          <w:color w:val="1B1C1D"/>
        </w:rPr>
        <w:t>a) Capitalized and amortized.</w:t>
      </w:r>
    </w:p>
    <w:p w14:paraId="6EEA1EC6">
      <w:pPr>
        <w:pStyle w:val="34"/>
        <w:rPr>
          <w:color w:val="1B1C1D"/>
        </w:rPr>
      </w:pPr>
      <w:r>
        <w:rPr>
          <w:color w:val="1B1C1D"/>
        </w:rPr>
        <w:t xml:space="preserve">b) Expensed.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4D05AD7F">
      <w:pPr>
        <w:pStyle w:val="34"/>
        <w:rPr>
          <w:color w:val="1B1C1D"/>
        </w:rPr>
      </w:pPr>
      <w:r>
        <w:rPr>
          <w:color w:val="1B1C1D"/>
        </w:rPr>
        <w:t>c) Allocated to the licensed areas.</w:t>
      </w:r>
    </w:p>
    <w:p w14:paraId="07B92C72">
      <w:pPr>
        <w:pStyle w:val="34"/>
        <w:rPr>
          <w:color w:val="1B1C1D"/>
        </w:rPr>
      </w:pPr>
      <w:r>
        <w:rPr>
          <w:color w:val="1B1C1D"/>
        </w:rPr>
        <w:t>d) Held in suspense.</w:t>
      </w:r>
    </w:p>
    <w:p w14:paraId="16A111BA">
      <w:pPr>
        <w:pStyle w:val="34"/>
        <w:numPr>
          <w:ilvl w:val="0"/>
          <w:numId w:val="9"/>
        </w:numPr>
        <w:ind w:left="0"/>
        <w:rPr>
          <w:color w:val="1B1C1D"/>
        </w:rPr>
      </w:pPr>
      <w:r>
        <w:rPr>
          <w:color w:val="1B1C1D"/>
        </w:rPr>
        <w:t>The Successful Efforts method aims to match exploration costs more directly with:</w:t>
      </w:r>
    </w:p>
    <w:p w14:paraId="38C749FE">
      <w:pPr>
        <w:pStyle w:val="34"/>
        <w:rPr>
          <w:color w:val="1B1C1D"/>
        </w:rPr>
      </w:pPr>
      <w:r>
        <w:rPr>
          <w:color w:val="1B1C1D"/>
        </w:rPr>
        <w:t>a) All revenue generated by the company.</w:t>
      </w:r>
    </w:p>
    <w:p w14:paraId="403A47EB">
      <w:pPr>
        <w:pStyle w:val="34"/>
        <w:rPr>
          <w:color w:val="1B1C1D"/>
        </w:rPr>
      </w:pPr>
      <w:r>
        <w:rPr>
          <w:color w:val="1B1C1D"/>
        </w:rPr>
        <w:t xml:space="preserve">b) Revenue generated from successful discoveries.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10B2C86F">
      <w:pPr>
        <w:pStyle w:val="34"/>
        <w:rPr>
          <w:color w:val="1B1C1D"/>
        </w:rPr>
      </w:pPr>
      <w:r>
        <w:rPr>
          <w:color w:val="1B1C1D"/>
        </w:rPr>
        <w:t>c) The level of drilling activity.</w:t>
      </w:r>
    </w:p>
    <w:p w14:paraId="5380F81F">
      <w:pPr>
        <w:pStyle w:val="34"/>
        <w:rPr>
          <w:color w:val="1B1C1D"/>
        </w:rPr>
      </w:pPr>
      <w:r>
        <w:rPr>
          <w:color w:val="1B1C1D"/>
        </w:rPr>
        <w:t>d) The size of the licensed area.</w:t>
      </w:r>
    </w:p>
    <w:p w14:paraId="38639648">
      <w:pPr>
        <w:pStyle w:val="34"/>
        <w:numPr>
          <w:ilvl w:val="0"/>
          <w:numId w:val="9"/>
        </w:numPr>
        <w:ind w:left="0"/>
        <w:rPr>
          <w:color w:val="1B1C1D"/>
        </w:rPr>
      </w:pPr>
      <w:r>
        <w:rPr>
          <w:color w:val="1B1C1D"/>
        </w:rPr>
        <w:t>Accounting for pre-license and license acquisition costs can significantly impact a company's:</w:t>
      </w:r>
    </w:p>
    <w:p w14:paraId="6A4C5B35">
      <w:pPr>
        <w:pStyle w:val="34"/>
        <w:rPr>
          <w:color w:val="1B1C1D"/>
        </w:rPr>
      </w:pPr>
      <w:r>
        <w:rPr>
          <w:color w:val="1B1C1D"/>
        </w:rPr>
        <w:t>a) Cash flow statement.</w:t>
      </w:r>
    </w:p>
    <w:p w14:paraId="51C82C3E">
      <w:pPr>
        <w:pStyle w:val="34"/>
        <w:rPr>
          <w:color w:val="1B1C1D"/>
        </w:rPr>
      </w:pPr>
      <w:r>
        <w:rPr>
          <w:color w:val="1B1C1D"/>
        </w:rPr>
        <w:t xml:space="preserve">b) Reported earnings in the early stages of exploration.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56FA0396">
      <w:pPr>
        <w:pStyle w:val="34"/>
        <w:rPr>
          <w:color w:val="1B1C1D"/>
        </w:rPr>
      </w:pPr>
      <w:r>
        <w:rPr>
          <w:color w:val="1B1C1D"/>
        </w:rPr>
        <w:t>c) Statement of changes in equity.</w:t>
      </w:r>
    </w:p>
    <w:p w14:paraId="73D85587">
      <w:pPr>
        <w:pStyle w:val="34"/>
        <w:rPr>
          <w:color w:val="1B1C1D"/>
        </w:rPr>
      </w:pPr>
      <w:r>
        <w:rPr>
          <w:color w:val="1B1C1D"/>
        </w:rPr>
        <w:t>d) Production volumes.</w:t>
      </w:r>
    </w:p>
    <w:p w14:paraId="3E1B4137">
      <w:pPr>
        <w:pStyle w:val="34"/>
        <w:spacing w:after="0" w:afterAutospacing="0"/>
        <w:rPr>
          <w:color w:val="1B1C1D"/>
        </w:rPr>
      </w:pPr>
      <w:r>
        <w:rPr>
          <w:rStyle w:val="35"/>
          <w:b w:val="0"/>
          <w:bCs w:val="0"/>
          <w:color w:val="1B1C1D"/>
        </w:rPr>
        <w:t>Section 4: Accounting for Exploratory Drilling and Appraisal Costs (Successful Efforts)</w:t>
      </w:r>
    </w:p>
    <w:p w14:paraId="23F06B85">
      <w:pPr>
        <w:pStyle w:val="34"/>
        <w:numPr>
          <w:ilvl w:val="0"/>
          <w:numId w:val="10"/>
        </w:numPr>
        <w:ind w:left="0"/>
        <w:rPr>
          <w:color w:val="1B1C1D"/>
        </w:rPr>
      </w:pPr>
      <w:r>
        <w:rPr>
          <w:color w:val="1B1C1D"/>
        </w:rPr>
        <w:t>Under the Successful Efforts method, costs of drilling exploratory wells that find proved reserves are:</w:t>
      </w:r>
    </w:p>
    <w:p w14:paraId="46AE9EF3">
      <w:pPr>
        <w:pStyle w:val="34"/>
        <w:rPr>
          <w:color w:val="1B1C1D"/>
        </w:rPr>
      </w:pPr>
      <w:r>
        <w:rPr>
          <w:color w:val="1B1C1D"/>
        </w:rPr>
        <w:t>a) Expensed immediately.</w:t>
      </w:r>
    </w:p>
    <w:p w14:paraId="6324E9E6">
      <w:pPr>
        <w:pStyle w:val="34"/>
        <w:rPr>
          <w:color w:val="1B1C1D"/>
        </w:rPr>
      </w:pPr>
      <w:r>
        <w:rPr>
          <w:color w:val="1B1C1D"/>
        </w:rPr>
        <w:t xml:space="preserve">b) Capitalized as part of the cost of the related reserves.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2CFD69BC">
      <w:pPr>
        <w:pStyle w:val="34"/>
        <w:rPr>
          <w:color w:val="1B1C1D"/>
        </w:rPr>
      </w:pPr>
      <w:r>
        <w:rPr>
          <w:color w:val="1B1C1D"/>
        </w:rPr>
        <w:t>c) Deferred and amortized over a short period.</w:t>
      </w:r>
    </w:p>
    <w:p w14:paraId="62EF0128">
      <w:pPr>
        <w:pStyle w:val="34"/>
        <w:rPr>
          <w:color w:val="1B1C1D"/>
        </w:rPr>
      </w:pPr>
      <w:r>
        <w:rPr>
          <w:color w:val="1B1C1D"/>
        </w:rPr>
        <w:t>d) Written off against revenue.</w:t>
      </w:r>
    </w:p>
    <w:p w14:paraId="0F44B5F8">
      <w:pPr>
        <w:pStyle w:val="34"/>
        <w:numPr>
          <w:ilvl w:val="0"/>
          <w:numId w:val="10"/>
        </w:numPr>
        <w:ind w:left="0"/>
        <w:rPr>
          <w:color w:val="1B1C1D"/>
        </w:rPr>
      </w:pPr>
      <w:r>
        <w:rPr>
          <w:color w:val="1B1C1D"/>
        </w:rPr>
        <w:t>Costs of drilling exploratory wells that do not find proved reserves are:</w:t>
      </w:r>
    </w:p>
    <w:p w14:paraId="1580A7B6">
      <w:pPr>
        <w:pStyle w:val="34"/>
        <w:rPr>
          <w:color w:val="1B1C1D"/>
        </w:rPr>
      </w:pPr>
      <w:r>
        <w:rPr>
          <w:color w:val="1B1C1D"/>
        </w:rPr>
        <w:t>a) Capitalized indefinitely.</w:t>
      </w:r>
    </w:p>
    <w:p w14:paraId="34A7E4D2">
      <w:pPr>
        <w:pStyle w:val="34"/>
        <w:rPr>
          <w:color w:val="1B1C1D"/>
        </w:rPr>
      </w:pPr>
      <w:r>
        <w:rPr>
          <w:color w:val="1B1C1D"/>
        </w:rPr>
        <w:t xml:space="preserve">b) Expensed as dry holes.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7A71CC39">
      <w:pPr>
        <w:pStyle w:val="34"/>
        <w:rPr>
          <w:color w:val="1B1C1D"/>
        </w:rPr>
      </w:pPr>
      <w:r>
        <w:rPr>
          <w:color w:val="1B1C1D"/>
        </w:rPr>
        <w:t>c) Transferred to other successful wells.</w:t>
      </w:r>
    </w:p>
    <w:p w14:paraId="51A1DC38">
      <w:pPr>
        <w:pStyle w:val="34"/>
        <w:rPr>
          <w:color w:val="1B1C1D"/>
        </w:rPr>
      </w:pPr>
      <w:r>
        <w:rPr>
          <w:color w:val="1B1C1D"/>
        </w:rPr>
        <w:t>d) Amortized over a long period.</w:t>
      </w:r>
    </w:p>
    <w:p w14:paraId="27769D5A">
      <w:pPr>
        <w:pStyle w:val="34"/>
        <w:numPr>
          <w:ilvl w:val="0"/>
          <w:numId w:val="10"/>
        </w:numPr>
        <w:ind w:left="0"/>
        <w:rPr>
          <w:color w:val="1B1C1D"/>
        </w:rPr>
      </w:pPr>
      <w:r>
        <w:rPr>
          <w:color w:val="1B1C1D"/>
        </w:rPr>
        <w:t>Appraisal wells are drilled to:</w:t>
      </w:r>
    </w:p>
    <w:p w14:paraId="6F23E9DE">
      <w:pPr>
        <w:pStyle w:val="34"/>
        <w:rPr>
          <w:color w:val="1B1C1D"/>
        </w:rPr>
      </w:pPr>
      <w:r>
        <w:rPr>
          <w:color w:val="1B1C1D"/>
        </w:rPr>
        <w:t>a) Search for new hydrocarbon-bearing formations.</w:t>
      </w:r>
    </w:p>
    <w:p w14:paraId="6274BF1D">
      <w:pPr>
        <w:pStyle w:val="34"/>
        <w:rPr>
          <w:color w:val="1B1C1D"/>
        </w:rPr>
      </w:pPr>
      <w:r>
        <w:rPr>
          <w:color w:val="1B1C1D"/>
        </w:rPr>
        <w:t xml:space="preserve">b) Evaluate the size and commerciality of a discovered reservoir.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4FC55C40">
      <w:pPr>
        <w:pStyle w:val="34"/>
        <w:rPr>
          <w:color w:val="1B1C1D"/>
        </w:rPr>
      </w:pPr>
      <w:r>
        <w:rPr>
          <w:color w:val="1B1C1D"/>
        </w:rPr>
        <w:t>c) Produce oil and gas.</w:t>
      </w:r>
    </w:p>
    <w:p w14:paraId="6DAE0925">
      <w:pPr>
        <w:pStyle w:val="34"/>
        <w:rPr>
          <w:color w:val="1B1C1D"/>
        </w:rPr>
      </w:pPr>
      <w:r>
        <w:rPr>
          <w:color w:val="1B1C1D"/>
        </w:rPr>
        <w:t>d) Inject water or gas for enhanced recovery.</w:t>
      </w:r>
    </w:p>
    <w:p w14:paraId="2134058C">
      <w:pPr>
        <w:pStyle w:val="34"/>
        <w:numPr>
          <w:ilvl w:val="0"/>
          <w:numId w:val="10"/>
        </w:numPr>
        <w:ind w:left="0"/>
        <w:rPr>
          <w:color w:val="1B1C1D"/>
        </w:rPr>
      </w:pPr>
      <w:r>
        <w:rPr>
          <w:color w:val="1B1C1D"/>
        </w:rPr>
        <w:t>Under Successful Efforts, costs of appraisal wells that confirm the commerciality of a discovery are:</w:t>
      </w:r>
    </w:p>
    <w:p w14:paraId="165B0CA4">
      <w:pPr>
        <w:pStyle w:val="34"/>
        <w:rPr>
          <w:color w:val="1B1C1D"/>
        </w:rPr>
      </w:pPr>
      <w:r>
        <w:rPr>
          <w:color w:val="1B1C1D"/>
        </w:rPr>
        <w:t>a) Expensed immediately.</w:t>
      </w:r>
    </w:p>
    <w:p w14:paraId="053F0F52">
      <w:pPr>
        <w:pStyle w:val="34"/>
        <w:rPr>
          <w:color w:val="1B1C1D"/>
        </w:rPr>
      </w:pPr>
      <w:r>
        <w:rPr>
          <w:color w:val="1B1C1D"/>
        </w:rPr>
        <w:t xml:space="preserve">b) Capitalized as part of the development costs.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4470984C">
      <w:pPr>
        <w:pStyle w:val="34"/>
        <w:rPr>
          <w:color w:val="1B1C1D"/>
        </w:rPr>
      </w:pPr>
      <w:r>
        <w:rPr>
          <w:color w:val="1B1C1D"/>
        </w:rPr>
        <w:t>c) Deferred until production commences.</w:t>
      </w:r>
    </w:p>
    <w:p w14:paraId="309FCFBA">
      <w:pPr>
        <w:pStyle w:val="34"/>
        <w:rPr>
          <w:color w:val="1B1C1D"/>
        </w:rPr>
      </w:pPr>
      <w:r>
        <w:rPr>
          <w:color w:val="1B1C1D"/>
        </w:rPr>
        <w:t>d) Written off against exploration expenses.</w:t>
      </w:r>
    </w:p>
    <w:p w14:paraId="22A7F505">
      <w:pPr>
        <w:pStyle w:val="34"/>
        <w:numPr>
          <w:ilvl w:val="0"/>
          <w:numId w:val="10"/>
        </w:numPr>
        <w:ind w:left="0"/>
        <w:rPr>
          <w:color w:val="1B1C1D"/>
        </w:rPr>
      </w:pPr>
      <w:r>
        <w:rPr>
          <w:color w:val="1B1C1D"/>
        </w:rPr>
        <w:t>Costs of appraisal wells that prove a discovery to be non-commercial are:</w:t>
      </w:r>
    </w:p>
    <w:p w14:paraId="0A0F8EB8">
      <w:pPr>
        <w:pStyle w:val="34"/>
        <w:rPr>
          <w:color w:val="1B1C1D"/>
        </w:rPr>
      </w:pPr>
      <w:r>
        <w:rPr>
          <w:color w:val="1B1C1D"/>
        </w:rPr>
        <w:t>a) Capitalized indefinitely.</w:t>
      </w:r>
    </w:p>
    <w:p w14:paraId="317C458D">
      <w:pPr>
        <w:pStyle w:val="34"/>
        <w:rPr>
          <w:color w:val="1B1C1D"/>
        </w:rPr>
      </w:pPr>
      <w:r>
        <w:rPr>
          <w:color w:val="1B1C1D"/>
        </w:rPr>
        <w:t xml:space="preserve">b) Expensed.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2421537C">
      <w:pPr>
        <w:pStyle w:val="34"/>
        <w:rPr>
          <w:color w:val="1B1C1D"/>
        </w:rPr>
      </w:pPr>
      <w:r>
        <w:rPr>
          <w:color w:val="1B1C1D"/>
        </w:rPr>
        <w:t>c) Transferred to other successful fields.</w:t>
      </w:r>
    </w:p>
    <w:p w14:paraId="0326B025">
      <w:pPr>
        <w:pStyle w:val="34"/>
        <w:rPr>
          <w:color w:val="1B1C1D"/>
        </w:rPr>
      </w:pPr>
      <w:r>
        <w:rPr>
          <w:color w:val="1B1C1D"/>
        </w:rPr>
        <w:t>d) Amortized over a long period.</w:t>
      </w:r>
    </w:p>
    <w:p w14:paraId="7FFB9179">
      <w:pPr>
        <w:pStyle w:val="34"/>
        <w:numPr>
          <w:ilvl w:val="0"/>
          <w:numId w:val="10"/>
        </w:numPr>
        <w:ind w:left="0"/>
        <w:rPr>
          <w:color w:val="1B1C1D"/>
        </w:rPr>
      </w:pPr>
      <w:r>
        <w:rPr>
          <w:color w:val="1B1C1D"/>
        </w:rPr>
        <w:t>The accounting treatment for exploratory and appraisal drilling costs under Successful Efforts is based on the principle of:</w:t>
      </w:r>
    </w:p>
    <w:p w14:paraId="24C325E7">
      <w:pPr>
        <w:pStyle w:val="34"/>
        <w:rPr>
          <w:color w:val="1B1C1D"/>
        </w:rPr>
      </w:pPr>
      <w:r>
        <w:rPr>
          <w:color w:val="1B1C1D"/>
        </w:rPr>
        <w:t>a) Conservatism.</w:t>
      </w:r>
    </w:p>
    <w:p w14:paraId="7F7376A9">
      <w:pPr>
        <w:pStyle w:val="34"/>
        <w:rPr>
          <w:color w:val="1B1C1D"/>
        </w:rPr>
      </w:pPr>
      <w:r>
        <w:rPr>
          <w:color w:val="1B1C1D"/>
        </w:rPr>
        <w:t xml:space="preserve">b) Matching revenue with the costs that generated that revenue.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6C3E611A">
      <w:pPr>
        <w:pStyle w:val="34"/>
        <w:rPr>
          <w:color w:val="1B1C1D"/>
        </w:rPr>
      </w:pPr>
      <w:r>
        <w:rPr>
          <w:color w:val="1B1C1D"/>
        </w:rPr>
        <w:t>c) Full disclosure.</w:t>
      </w:r>
    </w:p>
    <w:p w14:paraId="02EBB2A8">
      <w:pPr>
        <w:pStyle w:val="34"/>
        <w:rPr>
          <w:color w:val="1B1C1D"/>
        </w:rPr>
      </w:pPr>
      <w:r>
        <w:rPr>
          <w:color w:val="1B1C1D"/>
        </w:rPr>
        <w:t>d) Materiality.</w:t>
      </w:r>
    </w:p>
    <w:p w14:paraId="2372A304">
      <w:pPr>
        <w:pStyle w:val="34"/>
        <w:numPr>
          <w:ilvl w:val="0"/>
          <w:numId w:val="10"/>
        </w:numPr>
        <w:ind w:left="0"/>
        <w:rPr>
          <w:color w:val="1B1C1D"/>
        </w:rPr>
      </w:pPr>
      <w:r>
        <w:rPr>
          <w:color w:val="1B1C1D"/>
        </w:rPr>
        <w:t>If an exploratory well is temporarily capped pending further evaluation, its costs may be:</w:t>
      </w:r>
    </w:p>
    <w:p w14:paraId="4565A1FB">
      <w:pPr>
        <w:pStyle w:val="34"/>
        <w:rPr>
          <w:color w:val="1B1C1D"/>
        </w:rPr>
      </w:pPr>
      <w:r>
        <w:rPr>
          <w:color w:val="1B1C1D"/>
        </w:rPr>
        <w:t>a) Expensed immediately.</w:t>
      </w:r>
    </w:p>
    <w:p w14:paraId="11730854">
      <w:pPr>
        <w:pStyle w:val="34"/>
        <w:rPr>
          <w:color w:val="1B1C1D"/>
        </w:rPr>
      </w:pPr>
      <w:r>
        <w:rPr>
          <w:color w:val="1B1C1D"/>
        </w:rPr>
        <w:t xml:space="preserve">b) Capitalized, subject to periodic assessment for impairment.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2792F849">
      <w:pPr>
        <w:pStyle w:val="34"/>
        <w:rPr>
          <w:color w:val="1B1C1D"/>
        </w:rPr>
      </w:pPr>
      <w:r>
        <w:rPr>
          <w:color w:val="1B1C1D"/>
        </w:rPr>
        <w:t>c) Amortized over a short period.</w:t>
      </w:r>
    </w:p>
    <w:p w14:paraId="5C161326">
      <w:pPr>
        <w:pStyle w:val="34"/>
        <w:rPr>
          <w:color w:val="1B1C1D"/>
        </w:rPr>
      </w:pPr>
      <w:r>
        <w:rPr>
          <w:color w:val="1B1C1D"/>
        </w:rPr>
        <w:t>d) Written off against future revenue.</w:t>
      </w:r>
    </w:p>
    <w:p w14:paraId="5C8A6DD3">
      <w:pPr>
        <w:pStyle w:val="34"/>
        <w:numPr>
          <w:ilvl w:val="0"/>
          <w:numId w:val="10"/>
        </w:numPr>
        <w:ind w:left="0"/>
        <w:rPr>
          <w:color w:val="1B1C1D"/>
        </w:rPr>
      </w:pPr>
      <w:r>
        <w:rPr>
          <w:color w:val="1B1C1D"/>
        </w:rPr>
        <w:t>Geological and geophysical costs directly related to a specific exploratory well that is successful may be:</w:t>
      </w:r>
    </w:p>
    <w:p w14:paraId="65231323">
      <w:pPr>
        <w:pStyle w:val="34"/>
        <w:rPr>
          <w:color w:val="1B1C1D"/>
        </w:rPr>
      </w:pPr>
      <w:r>
        <w:rPr>
          <w:color w:val="1B1C1D"/>
        </w:rPr>
        <w:t>a) Expensed separately.</w:t>
      </w:r>
    </w:p>
    <w:p w14:paraId="0AB1A4BB">
      <w:pPr>
        <w:pStyle w:val="34"/>
        <w:rPr>
          <w:color w:val="1B1C1D"/>
        </w:rPr>
      </w:pPr>
      <w:r>
        <w:rPr>
          <w:color w:val="1B1C1D"/>
        </w:rPr>
        <w:t xml:space="preserve">b) Capitalized as part of the well cost.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1587351C">
      <w:pPr>
        <w:pStyle w:val="34"/>
        <w:rPr>
          <w:color w:val="1B1C1D"/>
        </w:rPr>
      </w:pPr>
      <w:r>
        <w:rPr>
          <w:color w:val="1B1C1D"/>
        </w:rPr>
        <w:t>c) Deferred and amortized.</w:t>
      </w:r>
    </w:p>
    <w:p w14:paraId="6A9B2D25">
      <w:pPr>
        <w:pStyle w:val="34"/>
        <w:rPr>
          <w:color w:val="1B1C1D"/>
        </w:rPr>
      </w:pPr>
      <w:r>
        <w:rPr>
          <w:color w:val="1B1C1D"/>
        </w:rPr>
        <w:t>d) Written off against revenue.</w:t>
      </w:r>
    </w:p>
    <w:p w14:paraId="3D504AC0">
      <w:pPr>
        <w:pStyle w:val="34"/>
        <w:numPr>
          <w:ilvl w:val="0"/>
          <w:numId w:val="10"/>
        </w:numPr>
        <w:ind w:left="0"/>
        <w:rPr>
          <w:color w:val="1B1C1D"/>
        </w:rPr>
      </w:pPr>
      <w:r>
        <w:rPr>
          <w:color w:val="1B1C1D"/>
        </w:rPr>
        <w:t>The Successful Efforts method can result in more volatile earnings compared to the Full Cost method because:</w:t>
      </w:r>
    </w:p>
    <w:p w14:paraId="6DDFA26C">
      <w:pPr>
        <w:pStyle w:val="34"/>
        <w:rPr>
          <w:color w:val="1B1C1D"/>
        </w:rPr>
      </w:pPr>
      <w:r>
        <w:rPr>
          <w:color w:val="1B1C1D"/>
        </w:rPr>
        <w:t>a) All exploration costs are capitalized.</w:t>
      </w:r>
    </w:p>
    <w:p w14:paraId="53AE467D">
      <w:pPr>
        <w:pStyle w:val="34"/>
        <w:rPr>
          <w:color w:val="1B1C1D"/>
        </w:rPr>
      </w:pPr>
      <w:r>
        <w:rPr>
          <w:color w:val="1B1C1D"/>
        </w:rPr>
        <w:t xml:space="preserve">b) Dry hole costs are expensed immediately.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110483CE">
      <w:pPr>
        <w:pStyle w:val="34"/>
        <w:rPr>
          <w:color w:val="1B1C1D"/>
        </w:rPr>
      </w:pPr>
      <w:r>
        <w:rPr>
          <w:color w:val="1B1C1D"/>
        </w:rPr>
        <w:t>c) Production costs are expensed as incurred.</w:t>
      </w:r>
    </w:p>
    <w:p w14:paraId="17F070B3">
      <w:pPr>
        <w:pStyle w:val="34"/>
        <w:rPr>
          <w:color w:val="1B1C1D"/>
        </w:rPr>
      </w:pPr>
      <w:r>
        <w:rPr>
          <w:color w:val="1B1C1D"/>
        </w:rPr>
        <w:t>d) Revenue is recognized earlier.</w:t>
      </w:r>
    </w:p>
    <w:p w14:paraId="05FCFBF3">
      <w:pPr>
        <w:pStyle w:val="34"/>
        <w:numPr>
          <w:ilvl w:val="0"/>
          <w:numId w:val="10"/>
        </w:numPr>
        <w:ind w:left="0"/>
        <w:rPr>
          <w:color w:val="1B1C1D"/>
        </w:rPr>
      </w:pPr>
      <w:r>
        <w:rPr>
          <w:color w:val="1B1C1D"/>
        </w:rPr>
        <w:t>Proper documentation of drilling results and reserve estimates is crucial for the correct accounting treatment of:</w:t>
      </w:r>
    </w:p>
    <w:p w14:paraId="75106FD3">
      <w:pPr>
        <w:pStyle w:val="34"/>
        <w:rPr>
          <w:color w:val="1B1C1D"/>
        </w:rPr>
      </w:pPr>
      <w:r>
        <w:rPr>
          <w:color w:val="1B1C1D"/>
        </w:rPr>
        <w:t>a) Administrative overhead.</w:t>
      </w:r>
    </w:p>
    <w:p w14:paraId="20A457D7">
      <w:pPr>
        <w:pStyle w:val="34"/>
        <w:rPr>
          <w:color w:val="1B1C1D"/>
        </w:rPr>
      </w:pPr>
      <w:r>
        <w:rPr>
          <w:color w:val="1B1C1D"/>
        </w:rPr>
        <w:t xml:space="preserve">b) Exploratory and appraisal costs under Successful Efforts.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04F885A7">
      <w:pPr>
        <w:pStyle w:val="34"/>
        <w:rPr>
          <w:color w:val="1B1C1D"/>
        </w:rPr>
      </w:pPr>
      <w:r>
        <w:rPr>
          <w:color w:val="1B1C1D"/>
        </w:rPr>
        <w:t>c) Marketing expenses.</w:t>
      </w:r>
    </w:p>
    <w:p w14:paraId="135ECB3F">
      <w:pPr>
        <w:pStyle w:val="34"/>
        <w:rPr>
          <w:color w:val="1B1C1D"/>
        </w:rPr>
      </w:pPr>
      <w:r>
        <w:rPr>
          <w:color w:val="1B1C1D"/>
        </w:rPr>
        <w:t>d) Transportation costs.</w:t>
      </w:r>
    </w:p>
    <w:p w14:paraId="0F4F0352">
      <w:pPr>
        <w:pStyle w:val="34"/>
        <w:spacing w:after="0" w:afterAutospacing="0"/>
        <w:rPr>
          <w:color w:val="1B1C1D"/>
        </w:rPr>
      </w:pPr>
      <w:r>
        <w:rPr>
          <w:rStyle w:val="35"/>
          <w:b w:val="0"/>
          <w:bCs w:val="0"/>
          <w:color w:val="1B1C1D"/>
        </w:rPr>
        <w:t>Section 5: Royalties</w:t>
      </w:r>
    </w:p>
    <w:p w14:paraId="2FABEA9F">
      <w:pPr>
        <w:pStyle w:val="34"/>
        <w:numPr>
          <w:ilvl w:val="0"/>
          <w:numId w:val="11"/>
        </w:numPr>
        <w:ind w:left="0"/>
        <w:rPr>
          <w:color w:val="1B1C1D"/>
        </w:rPr>
      </w:pPr>
      <w:r>
        <w:rPr>
          <w:color w:val="1B1C1D"/>
        </w:rPr>
        <w:t>Royalties in the oil and gas industry are payments made to the:</w:t>
      </w:r>
    </w:p>
    <w:p w14:paraId="2E20B3BE">
      <w:pPr>
        <w:pStyle w:val="34"/>
        <w:rPr>
          <w:color w:val="1B1C1D"/>
        </w:rPr>
      </w:pPr>
      <w:r>
        <w:rPr>
          <w:color w:val="1B1C1D"/>
        </w:rPr>
        <w:t>a) Drilling contractor.</w:t>
      </w:r>
    </w:p>
    <w:p w14:paraId="6C3E2A5F">
      <w:pPr>
        <w:pStyle w:val="34"/>
        <w:rPr>
          <w:color w:val="1B1C1D"/>
        </w:rPr>
      </w:pPr>
      <w:r>
        <w:rPr>
          <w:color w:val="1B1C1D"/>
        </w:rPr>
        <w:t xml:space="preserve">b) Host government or mineral rights owner for the right to produce oil and gas.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2C552D99">
      <w:pPr>
        <w:pStyle w:val="34"/>
        <w:rPr>
          <w:color w:val="1B1C1D"/>
        </w:rPr>
      </w:pPr>
      <w:r>
        <w:rPr>
          <w:color w:val="1B1C1D"/>
        </w:rPr>
        <w:t>c) Pipeline transportation company.</w:t>
      </w:r>
    </w:p>
    <w:p w14:paraId="650A5BA0">
      <w:pPr>
        <w:pStyle w:val="34"/>
        <w:rPr>
          <w:color w:val="1B1C1D"/>
        </w:rPr>
      </w:pPr>
      <w:r>
        <w:rPr>
          <w:color w:val="1B1C1D"/>
        </w:rPr>
        <w:t>d) Refining company.</w:t>
      </w:r>
    </w:p>
    <w:p w14:paraId="6A528A2D">
      <w:pPr>
        <w:pStyle w:val="34"/>
        <w:numPr>
          <w:ilvl w:val="0"/>
          <w:numId w:val="11"/>
        </w:numPr>
        <w:ind w:left="0"/>
        <w:rPr>
          <w:color w:val="1B1C1D"/>
        </w:rPr>
      </w:pPr>
      <w:r>
        <w:rPr>
          <w:color w:val="1B1C1D"/>
        </w:rPr>
        <w:t>Royalties are typically calculated as a:</w:t>
      </w:r>
    </w:p>
    <w:p w14:paraId="15F704B5">
      <w:pPr>
        <w:pStyle w:val="34"/>
        <w:rPr>
          <w:color w:val="1B1C1D"/>
        </w:rPr>
      </w:pPr>
      <w:r>
        <w:rPr>
          <w:color w:val="1B1C1D"/>
        </w:rPr>
        <w:t>a) Fixed amount per well.</w:t>
      </w:r>
    </w:p>
    <w:p w14:paraId="361F4FF8">
      <w:pPr>
        <w:pStyle w:val="34"/>
        <w:rPr>
          <w:color w:val="1B1C1D"/>
        </w:rPr>
      </w:pPr>
      <w:r>
        <w:rPr>
          <w:color w:val="1B1C1D"/>
        </w:rPr>
        <w:t xml:space="preserve">b) Percentage of the value or volume of oil and gas produced.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6E2DDC98">
      <w:pPr>
        <w:pStyle w:val="34"/>
        <w:rPr>
          <w:color w:val="1B1C1D"/>
        </w:rPr>
      </w:pPr>
      <w:r>
        <w:rPr>
          <w:color w:val="1B1C1D"/>
        </w:rPr>
        <w:t>c) Deduction from operating expenses.</w:t>
      </w:r>
    </w:p>
    <w:p w14:paraId="355C1AE9">
      <w:pPr>
        <w:pStyle w:val="34"/>
        <w:rPr>
          <w:color w:val="1B1C1D"/>
        </w:rPr>
      </w:pPr>
      <w:r>
        <w:rPr>
          <w:color w:val="1B1C1D"/>
        </w:rPr>
        <w:t>d) Capital expenditure.</w:t>
      </w:r>
    </w:p>
    <w:p w14:paraId="5FE3B0C7">
      <w:pPr>
        <w:pStyle w:val="34"/>
        <w:numPr>
          <w:ilvl w:val="0"/>
          <w:numId w:val="11"/>
        </w:numPr>
        <w:ind w:left="0"/>
        <w:rPr>
          <w:color w:val="1B1C1D"/>
        </w:rPr>
      </w:pPr>
      <w:r>
        <w:rPr>
          <w:color w:val="1B1C1D"/>
        </w:rPr>
        <w:t>The accounting for royalties involves:</w:t>
      </w:r>
    </w:p>
    <w:p w14:paraId="7B49E6F2">
      <w:pPr>
        <w:pStyle w:val="34"/>
        <w:rPr>
          <w:color w:val="1B1C1D"/>
        </w:rPr>
      </w:pPr>
      <w:r>
        <w:rPr>
          <w:color w:val="1B1C1D"/>
        </w:rPr>
        <w:t>a) Capitalizing them as part of the asset cost.</w:t>
      </w:r>
    </w:p>
    <w:p w14:paraId="6A9F18D2">
      <w:pPr>
        <w:pStyle w:val="34"/>
        <w:rPr>
          <w:color w:val="1B1C1D"/>
        </w:rPr>
      </w:pPr>
      <w:r>
        <w:rPr>
          <w:color w:val="1B1C1D"/>
        </w:rPr>
        <w:t xml:space="preserve">b) Recognizing them as an expense as the oil and gas is produced and sold.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384B45EF">
      <w:pPr>
        <w:pStyle w:val="34"/>
        <w:rPr>
          <w:color w:val="1B1C1D"/>
        </w:rPr>
      </w:pPr>
      <w:r>
        <w:rPr>
          <w:color w:val="1B1C1D"/>
        </w:rPr>
        <w:t>c) Deferring them until the well is abandoned.</w:t>
      </w:r>
    </w:p>
    <w:p w14:paraId="44E4D75B">
      <w:pPr>
        <w:pStyle w:val="34"/>
        <w:rPr>
          <w:color w:val="1B1C1D"/>
        </w:rPr>
      </w:pPr>
      <w:r>
        <w:rPr>
          <w:color w:val="1B1C1D"/>
        </w:rPr>
        <w:t>d) Ignoring them if they are below a certain threshold.</w:t>
      </w:r>
    </w:p>
    <w:p w14:paraId="45A8B650">
      <w:pPr>
        <w:pStyle w:val="34"/>
        <w:numPr>
          <w:ilvl w:val="0"/>
          <w:numId w:val="11"/>
        </w:numPr>
        <w:ind w:left="0"/>
        <w:rPr>
          <w:color w:val="1B1C1D"/>
        </w:rPr>
      </w:pPr>
      <w:r>
        <w:rPr>
          <w:color w:val="1B1C1D"/>
        </w:rPr>
        <w:t>The specific terms and rates of royalties are usually defined in the:</w:t>
      </w:r>
    </w:p>
    <w:p w14:paraId="33310AF5">
      <w:pPr>
        <w:pStyle w:val="34"/>
        <w:rPr>
          <w:color w:val="1B1C1D"/>
        </w:rPr>
      </w:pPr>
      <w:r>
        <w:rPr>
          <w:color w:val="1B1C1D"/>
        </w:rPr>
        <w:t>a) Company's internal accounting policies.</w:t>
      </w:r>
    </w:p>
    <w:p w14:paraId="04A018FF">
      <w:pPr>
        <w:pStyle w:val="34"/>
        <w:rPr>
          <w:color w:val="1B1C1D"/>
        </w:rPr>
      </w:pPr>
      <w:r>
        <w:rPr>
          <w:color w:val="1B1C1D"/>
        </w:rPr>
        <w:t xml:space="preserve">b) Petroleum license or production sharing contract.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1C14A4BF">
      <w:pPr>
        <w:pStyle w:val="34"/>
        <w:rPr>
          <w:color w:val="1B1C1D"/>
        </w:rPr>
      </w:pPr>
      <w:r>
        <w:rPr>
          <w:color w:val="1B1C1D"/>
        </w:rPr>
        <w:t>c) International accounting standards.</w:t>
      </w:r>
    </w:p>
    <w:p w14:paraId="7D3F3ED4">
      <w:pPr>
        <w:pStyle w:val="34"/>
        <w:rPr>
          <w:color w:val="1B1C1D"/>
        </w:rPr>
      </w:pPr>
      <w:r>
        <w:rPr>
          <w:color w:val="1B1C1D"/>
        </w:rPr>
        <w:t>d) Tax regulations.</w:t>
      </w:r>
    </w:p>
    <w:p w14:paraId="1A5E3F83">
      <w:pPr>
        <w:pStyle w:val="34"/>
        <w:numPr>
          <w:ilvl w:val="0"/>
          <w:numId w:val="11"/>
        </w:numPr>
        <w:ind w:left="0"/>
        <w:rPr>
          <w:color w:val="1B1C1D"/>
        </w:rPr>
      </w:pPr>
      <w:r>
        <w:rPr>
          <w:color w:val="1B1C1D"/>
        </w:rPr>
        <w:t>Different types of royalty arrangements may exist, such as:</w:t>
      </w:r>
    </w:p>
    <w:p w14:paraId="177E3A3B">
      <w:pPr>
        <w:pStyle w:val="34"/>
        <w:rPr>
          <w:color w:val="1B1C1D"/>
        </w:rPr>
      </w:pPr>
      <w:r>
        <w:rPr>
          <w:color w:val="1B1C1D"/>
        </w:rPr>
        <w:t>a) Only fixed percentage royalties.</w:t>
      </w:r>
    </w:p>
    <w:p w14:paraId="6F6C54B0">
      <w:pPr>
        <w:pStyle w:val="34"/>
        <w:rPr>
          <w:color w:val="1B1C1D"/>
        </w:rPr>
      </w:pPr>
      <w:r>
        <w:rPr>
          <w:color w:val="1B1C1D"/>
        </w:rPr>
        <w:t xml:space="preserve">b) Fixed percentage, variable percentage based on production levels or prices, or in-kind royalties.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1A778E2A">
      <w:pPr>
        <w:pStyle w:val="34"/>
        <w:rPr>
          <w:color w:val="1B1C1D"/>
        </w:rPr>
      </w:pPr>
      <w:r>
        <w:rPr>
          <w:color w:val="1B1C1D"/>
        </w:rPr>
        <w:t>c) Royalties paid in advance.</w:t>
      </w:r>
    </w:p>
    <w:p w14:paraId="2F75F585">
      <w:pPr>
        <w:pStyle w:val="34"/>
        <w:rPr>
          <w:color w:val="1B1C1D"/>
        </w:rPr>
      </w:pPr>
      <w:r>
        <w:rPr>
          <w:color w:val="1B1C1D"/>
        </w:rPr>
        <w:t>d) Royalties based on profit.</w:t>
      </w:r>
    </w:p>
    <w:p w14:paraId="7FCD862C">
      <w:pPr>
        <w:pStyle w:val="34"/>
        <w:numPr>
          <w:ilvl w:val="0"/>
          <w:numId w:val="11"/>
        </w:numPr>
        <w:ind w:left="0"/>
        <w:rPr>
          <w:color w:val="1B1C1D"/>
        </w:rPr>
      </w:pPr>
      <w:r>
        <w:rPr>
          <w:color w:val="1B1C1D"/>
        </w:rPr>
        <w:t>In-kind royalties involve the payment of royalties:</w:t>
      </w:r>
    </w:p>
    <w:p w14:paraId="32AC1055">
      <w:pPr>
        <w:pStyle w:val="34"/>
        <w:rPr>
          <w:color w:val="1B1C1D"/>
        </w:rPr>
      </w:pPr>
      <w:r>
        <w:rPr>
          <w:color w:val="1B1C1D"/>
        </w:rPr>
        <w:t>a) In cash.</w:t>
      </w:r>
    </w:p>
    <w:p w14:paraId="29193980">
      <w:pPr>
        <w:pStyle w:val="34"/>
        <w:rPr>
          <w:color w:val="1B1C1D"/>
        </w:rPr>
      </w:pPr>
      <w:r>
        <w:rPr>
          <w:color w:val="1B1C1D"/>
        </w:rPr>
        <w:t xml:space="preserve">b) In a share of the produced oil and gas.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218886A0">
      <w:pPr>
        <w:pStyle w:val="34"/>
        <w:rPr>
          <w:color w:val="1B1C1D"/>
        </w:rPr>
      </w:pPr>
      <w:r>
        <w:rPr>
          <w:color w:val="1B1C1D"/>
        </w:rPr>
        <w:t>c) Through tax credits.</w:t>
      </w:r>
    </w:p>
    <w:p w14:paraId="30A5843C">
      <w:pPr>
        <w:pStyle w:val="34"/>
        <w:rPr>
          <w:color w:val="1B1C1D"/>
        </w:rPr>
      </w:pPr>
      <w:r>
        <w:rPr>
          <w:color w:val="1B1C1D"/>
        </w:rPr>
        <w:t>d) As a fixed fee.</w:t>
      </w:r>
    </w:p>
    <w:p w14:paraId="2CE8DD12">
      <w:pPr>
        <w:pStyle w:val="34"/>
        <w:numPr>
          <w:ilvl w:val="0"/>
          <w:numId w:val="11"/>
        </w:numPr>
        <w:ind w:left="0"/>
        <w:rPr>
          <w:color w:val="1B1C1D"/>
        </w:rPr>
      </w:pPr>
      <w:r>
        <w:rPr>
          <w:color w:val="1B1C1D"/>
        </w:rPr>
        <w:t>The accounting for in-kind royalties requires determining the:</w:t>
      </w:r>
    </w:p>
    <w:p w14:paraId="21E1A209">
      <w:pPr>
        <w:pStyle w:val="34"/>
        <w:rPr>
          <w:color w:val="1B1C1D"/>
        </w:rPr>
      </w:pPr>
      <w:r>
        <w:rPr>
          <w:color w:val="1B1C1D"/>
        </w:rPr>
        <w:t>a) Historical cost of the produced oil and gas.</w:t>
      </w:r>
    </w:p>
    <w:p w14:paraId="0A4E4372">
      <w:pPr>
        <w:pStyle w:val="34"/>
        <w:rPr>
          <w:color w:val="1B1C1D"/>
        </w:rPr>
      </w:pPr>
      <w:r>
        <w:rPr>
          <w:color w:val="1B1C1D"/>
        </w:rPr>
        <w:t xml:space="preserve">b) Fair value of the royalty share at the time of production.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6E11AE3F">
      <w:pPr>
        <w:pStyle w:val="34"/>
        <w:rPr>
          <w:color w:val="1B1C1D"/>
        </w:rPr>
      </w:pPr>
      <w:r>
        <w:rPr>
          <w:color w:val="1B1C1D"/>
        </w:rPr>
        <w:t>c) Transportation cost of the royalty share.</w:t>
      </w:r>
    </w:p>
    <w:p w14:paraId="01259FC4">
      <w:pPr>
        <w:pStyle w:val="34"/>
        <w:rPr>
          <w:color w:val="1B1C1D"/>
        </w:rPr>
      </w:pPr>
      <w:r>
        <w:rPr>
          <w:color w:val="1B1C1D"/>
        </w:rPr>
        <w:t>d) Refining cost of the royalty share.</w:t>
      </w:r>
    </w:p>
    <w:p w14:paraId="3ED07048">
      <w:pPr>
        <w:pStyle w:val="34"/>
        <w:numPr>
          <w:ilvl w:val="0"/>
          <w:numId w:val="11"/>
        </w:numPr>
        <w:ind w:left="0"/>
        <w:rPr>
          <w:color w:val="1B1C1D"/>
        </w:rPr>
      </w:pPr>
      <w:r>
        <w:rPr>
          <w:color w:val="1B1C1D"/>
        </w:rPr>
        <w:t>Production taxes levied by the host government are:</w:t>
      </w:r>
    </w:p>
    <w:p w14:paraId="59C625F8">
      <w:pPr>
        <w:pStyle w:val="34"/>
        <w:rPr>
          <w:color w:val="1B1C1D"/>
        </w:rPr>
      </w:pPr>
      <w:r>
        <w:rPr>
          <w:color w:val="1B1C1D"/>
        </w:rPr>
        <w:t>a) Accounted for as royalties.</w:t>
      </w:r>
    </w:p>
    <w:p w14:paraId="7F43E12D">
      <w:pPr>
        <w:pStyle w:val="34"/>
        <w:rPr>
          <w:color w:val="1B1C1D"/>
        </w:rPr>
      </w:pPr>
      <w:r>
        <w:rPr>
          <w:color w:val="1B1C1D"/>
        </w:rPr>
        <w:t xml:space="preserve">b) Typically treated as operating expenses or a separate component of government take.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6B2FF344">
      <w:pPr>
        <w:pStyle w:val="34"/>
        <w:rPr>
          <w:color w:val="1B1C1D"/>
        </w:rPr>
      </w:pPr>
      <w:r>
        <w:rPr>
          <w:color w:val="1B1C1D"/>
        </w:rPr>
        <w:t>c) Capitalized as part of the asset cost.</w:t>
      </w:r>
    </w:p>
    <w:p w14:paraId="20FDBEB1">
      <w:pPr>
        <w:pStyle w:val="34"/>
        <w:rPr>
          <w:color w:val="1B1C1D"/>
        </w:rPr>
      </w:pPr>
      <w:r>
        <w:rPr>
          <w:color w:val="1B1C1D"/>
        </w:rPr>
        <w:t>d) Deferred and amortized.</w:t>
      </w:r>
    </w:p>
    <w:p w14:paraId="5C9D4ABE">
      <w:pPr>
        <w:pStyle w:val="34"/>
        <w:numPr>
          <w:ilvl w:val="0"/>
          <w:numId w:val="11"/>
        </w:numPr>
        <w:ind w:left="0"/>
        <w:rPr>
          <w:color w:val="1B1C1D"/>
        </w:rPr>
      </w:pPr>
      <w:r>
        <w:rPr>
          <w:color w:val="1B1C1D"/>
        </w:rPr>
        <w:t>Financial control over royalty payments is essential to ensure:</w:t>
      </w:r>
    </w:p>
    <w:p w14:paraId="329050F4">
      <w:pPr>
        <w:pStyle w:val="34"/>
        <w:rPr>
          <w:color w:val="1B1C1D"/>
        </w:rPr>
      </w:pPr>
      <w:r>
        <w:rPr>
          <w:color w:val="1B1C1D"/>
        </w:rPr>
        <w:t>a) Maximizing the company's profit at the expense of the host government.</w:t>
      </w:r>
    </w:p>
    <w:p w14:paraId="3F7E1C06">
      <w:pPr>
        <w:pStyle w:val="34"/>
        <w:rPr>
          <w:color w:val="1B1C1D"/>
        </w:rPr>
      </w:pPr>
      <w:r>
        <w:rPr>
          <w:color w:val="1B1C1D"/>
        </w:rPr>
        <w:t xml:space="preserve">b) Compliance with contractual terms and accurate reporting of government revenues.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690A16CE">
      <w:pPr>
        <w:pStyle w:val="34"/>
        <w:rPr>
          <w:color w:val="1B1C1D"/>
        </w:rPr>
      </w:pPr>
      <w:r>
        <w:rPr>
          <w:color w:val="1B1C1D"/>
        </w:rPr>
        <w:t>c) Minimizing production volumes.</w:t>
      </w:r>
    </w:p>
    <w:p w14:paraId="4F649A28">
      <w:pPr>
        <w:pStyle w:val="34"/>
        <w:rPr>
          <w:color w:val="1B1C1D"/>
        </w:rPr>
      </w:pPr>
      <w:r>
        <w:rPr>
          <w:color w:val="1B1C1D"/>
        </w:rPr>
        <w:t>d) Avoiding any interaction with government agencies.</w:t>
      </w:r>
    </w:p>
    <w:p w14:paraId="60477C71">
      <w:pPr>
        <w:pStyle w:val="34"/>
        <w:numPr>
          <w:ilvl w:val="0"/>
          <w:numId w:val="11"/>
        </w:numPr>
        <w:ind w:left="0"/>
        <w:rPr>
          <w:color w:val="1B1C1D"/>
        </w:rPr>
      </w:pPr>
      <w:r>
        <w:rPr>
          <w:color w:val="1B1C1D"/>
        </w:rPr>
        <w:t>International accounting standards provide guidance on the recognition and measurement of:</w:t>
      </w:r>
    </w:p>
    <w:p w14:paraId="67F1F89F">
      <w:pPr>
        <w:pStyle w:val="34"/>
        <w:rPr>
          <w:color w:val="1B1C1D"/>
        </w:rPr>
      </w:pPr>
      <w:r>
        <w:rPr>
          <w:color w:val="1B1C1D"/>
        </w:rPr>
        <w:t>a) The geological formation of oil reservoirs.</w:t>
      </w:r>
    </w:p>
    <w:p w14:paraId="642DFA7F">
      <w:pPr>
        <w:pStyle w:val="34"/>
        <w:rPr>
          <w:color w:val="1B1C1D"/>
        </w:rPr>
      </w:pPr>
      <w:r>
        <w:rPr>
          <w:color w:val="1B1C1D"/>
        </w:rPr>
        <w:t xml:space="preserve">b) Royalties and other government levies.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24443A1B">
      <w:pPr>
        <w:pStyle w:val="34"/>
        <w:rPr>
          <w:color w:val="1B1C1D"/>
        </w:rPr>
      </w:pPr>
      <w:r>
        <w:rPr>
          <w:color w:val="1B1C1D"/>
        </w:rPr>
        <w:t>c) The technical specifications of drilling equipment.</w:t>
      </w:r>
    </w:p>
    <w:p w14:paraId="16292792">
      <w:pPr>
        <w:pStyle w:val="34"/>
        <w:rPr>
          <w:color w:val="1B1C1D"/>
        </w:rPr>
      </w:pPr>
      <w:r>
        <w:rPr>
          <w:color w:val="1B1C1D"/>
        </w:rPr>
        <w:t>d) The political risks in host countries.</w:t>
      </w:r>
    </w:p>
    <w:p w14:paraId="23DFDD82">
      <w:pPr>
        <w:pStyle w:val="34"/>
        <w:spacing w:after="0" w:afterAutospacing="0"/>
        <w:rPr>
          <w:color w:val="1B1C1D"/>
        </w:rPr>
      </w:pPr>
      <w:r>
        <w:rPr>
          <w:rStyle w:val="35"/>
          <w:b w:val="0"/>
          <w:bCs w:val="0"/>
          <w:color w:val="1B1C1D"/>
        </w:rPr>
        <w:t>Section 6: Petroleum Tax</w:t>
      </w:r>
    </w:p>
    <w:p w14:paraId="21FE08B2">
      <w:pPr>
        <w:pStyle w:val="34"/>
        <w:numPr>
          <w:ilvl w:val="0"/>
          <w:numId w:val="12"/>
        </w:numPr>
        <w:ind w:left="0"/>
        <w:rPr>
          <w:color w:val="1B1C1D"/>
        </w:rPr>
      </w:pPr>
      <w:r>
        <w:rPr>
          <w:color w:val="1B1C1D"/>
        </w:rPr>
        <w:t>Petroleum taxes are levies imposed by host governments on:</w:t>
      </w:r>
    </w:p>
    <w:p w14:paraId="0ACDD593">
      <w:pPr>
        <w:pStyle w:val="34"/>
        <w:rPr>
          <w:color w:val="1B1C1D"/>
        </w:rPr>
      </w:pPr>
      <w:r>
        <w:rPr>
          <w:color w:val="1B1C1D"/>
        </w:rPr>
        <w:t>a) The number of employees in oil companies.</w:t>
      </w:r>
    </w:p>
    <w:p w14:paraId="493BB7FC">
      <w:pPr>
        <w:pStyle w:val="34"/>
        <w:rPr>
          <w:color w:val="1B1C1D"/>
        </w:rPr>
      </w:pPr>
      <w:r>
        <w:rPr>
          <w:color w:val="1B1C1D"/>
        </w:rPr>
        <w:t xml:space="preserve">b) The profits or revenues generated from petroleum operations.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271B16B8">
      <w:pPr>
        <w:pStyle w:val="34"/>
        <w:rPr>
          <w:color w:val="1B1C1D"/>
        </w:rPr>
      </w:pPr>
      <w:r>
        <w:rPr>
          <w:color w:val="1B1C1D"/>
        </w:rPr>
        <w:t>c) The volume of water injected for enhanced recovery.</w:t>
      </w:r>
    </w:p>
    <w:p w14:paraId="322A1F7E">
      <w:pPr>
        <w:pStyle w:val="34"/>
        <w:rPr>
          <w:color w:val="1B1C1D"/>
        </w:rPr>
      </w:pPr>
      <w:r>
        <w:rPr>
          <w:color w:val="1B1C1D"/>
        </w:rPr>
        <w:t>d) The size of the licensed area.</w:t>
      </w:r>
    </w:p>
    <w:p w14:paraId="456612C5">
      <w:pPr>
        <w:pStyle w:val="34"/>
        <w:numPr>
          <w:ilvl w:val="0"/>
          <w:numId w:val="12"/>
        </w:numPr>
        <w:ind w:left="0"/>
        <w:rPr>
          <w:color w:val="1B1C1D"/>
        </w:rPr>
      </w:pPr>
      <w:r>
        <w:rPr>
          <w:color w:val="1B1C1D"/>
        </w:rPr>
        <w:t>Common forms of petroleum tax include:</w:t>
      </w:r>
    </w:p>
    <w:p w14:paraId="0EC8CE53">
      <w:pPr>
        <w:pStyle w:val="34"/>
        <w:rPr>
          <w:color w:val="1B1C1D"/>
        </w:rPr>
      </w:pPr>
      <w:r>
        <w:rPr>
          <w:color w:val="1B1C1D"/>
        </w:rPr>
        <w:t>a) Only corporate income tax.</w:t>
      </w:r>
    </w:p>
    <w:p w14:paraId="0EE394E6">
      <w:pPr>
        <w:pStyle w:val="34"/>
        <w:rPr>
          <w:color w:val="1B1C1D"/>
        </w:rPr>
      </w:pPr>
      <w:r>
        <w:rPr>
          <w:color w:val="1B1C1D"/>
        </w:rPr>
        <w:t xml:space="preserve">b) Corporate income tax, resource rent tax, and other specific petroleum taxes.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06420F75">
      <w:pPr>
        <w:pStyle w:val="34"/>
        <w:rPr>
          <w:color w:val="1B1C1D"/>
        </w:rPr>
      </w:pPr>
      <w:r>
        <w:rPr>
          <w:color w:val="1B1C1D"/>
        </w:rPr>
        <w:t>c) Value-added tax (VAT).</w:t>
      </w:r>
    </w:p>
    <w:p w14:paraId="5139A9E7">
      <w:pPr>
        <w:pStyle w:val="34"/>
        <w:rPr>
          <w:color w:val="1B1C1D"/>
        </w:rPr>
      </w:pPr>
      <w:r>
        <w:rPr>
          <w:color w:val="1B1C1D"/>
        </w:rPr>
        <w:t>d) Sales tax.</w:t>
      </w:r>
    </w:p>
    <w:p w14:paraId="63A6B697">
      <w:pPr>
        <w:pStyle w:val="34"/>
        <w:numPr>
          <w:ilvl w:val="0"/>
          <w:numId w:val="12"/>
        </w:numPr>
        <w:ind w:left="0"/>
        <w:rPr>
          <w:color w:val="1B1C1D"/>
        </w:rPr>
      </w:pPr>
      <w:r>
        <w:rPr>
          <w:color w:val="1B1C1D"/>
        </w:rPr>
        <w:t>Resource rent tax (RRT) is typically based on the:</w:t>
      </w:r>
    </w:p>
    <w:p w14:paraId="607A8CA7">
      <w:pPr>
        <w:pStyle w:val="34"/>
        <w:rPr>
          <w:color w:val="1B1C1D"/>
        </w:rPr>
      </w:pPr>
      <w:r>
        <w:rPr>
          <w:color w:val="1B1C1D"/>
        </w:rPr>
        <w:t>a) Total revenue generated.</w:t>
      </w:r>
    </w:p>
    <w:p w14:paraId="722CDD20">
      <w:pPr>
        <w:pStyle w:val="34"/>
        <w:rPr>
          <w:color w:val="1B1C1D"/>
        </w:rPr>
      </w:pPr>
      <w:r>
        <w:rPr>
          <w:color w:val="1B1C1D"/>
        </w:rPr>
        <w:t xml:space="preserve">b) Profitability of the petroleum project after deducting allowable costs and a return on investment.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617F43CF">
      <w:pPr>
        <w:pStyle w:val="34"/>
        <w:rPr>
          <w:color w:val="1B1C1D"/>
        </w:rPr>
      </w:pPr>
      <w:r>
        <w:rPr>
          <w:color w:val="1B1C1D"/>
        </w:rPr>
        <w:t>c) Volume of oil and gas produced.</w:t>
      </w:r>
    </w:p>
    <w:p w14:paraId="2BFEE858">
      <w:pPr>
        <w:pStyle w:val="34"/>
        <w:rPr>
          <w:color w:val="1B1C1D"/>
        </w:rPr>
      </w:pPr>
      <w:r>
        <w:rPr>
          <w:color w:val="1B1C1D"/>
        </w:rPr>
        <w:t>d) Initial capital investment.</w:t>
      </w:r>
    </w:p>
    <w:p w14:paraId="255BF9BA">
      <w:pPr>
        <w:pStyle w:val="34"/>
        <w:numPr>
          <w:ilvl w:val="0"/>
          <w:numId w:val="12"/>
        </w:numPr>
        <w:ind w:left="0"/>
        <w:rPr>
          <w:color w:val="1B1C1D"/>
        </w:rPr>
      </w:pPr>
      <w:r>
        <w:rPr>
          <w:color w:val="1B1C1D"/>
        </w:rPr>
        <w:t>The accounting for petroleum tax involves:</w:t>
      </w:r>
    </w:p>
    <w:p w14:paraId="20274D84">
      <w:pPr>
        <w:pStyle w:val="34"/>
        <w:rPr>
          <w:color w:val="1B1C1D"/>
        </w:rPr>
      </w:pPr>
      <w:r>
        <w:rPr>
          <w:color w:val="1B1C1D"/>
        </w:rPr>
        <w:t>a) Ignoring it as it is paid to the government.</w:t>
      </w:r>
    </w:p>
    <w:p w14:paraId="69F85AC8">
      <w:pPr>
        <w:pStyle w:val="34"/>
        <w:rPr>
          <w:color w:val="1B1C1D"/>
        </w:rPr>
      </w:pPr>
      <w:r>
        <w:rPr>
          <w:color w:val="1B1C1D"/>
        </w:rPr>
        <w:t xml:space="preserve">b) Recognizing it as an expense in the period the taxable profit is earned.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036F6769">
      <w:pPr>
        <w:pStyle w:val="34"/>
        <w:rPr>
          <w:color w:val="1B1C1D"/>
        </w:rPr>
      </w:pPr>
      <w:r>
        <w:rPr>
          <w:color w:val="1B1C1D"/>
        </w:rPr>
        <w:t>c) Capitalizing it as part of the asset cost.</w:t>
      </w:r>
    </w:p>
    <w:p w14:paraId="63685243">
      <w:pPr>
        <w:pStyle w:val="34"/>
        <w:rPr>
          <w:color w:val="1B1C1D"/>
        </w:rPr>
      </w:pPr>
      <w:r>
        <w:rPr>
          <w:color w:val="1B1C1D"/>
        </w:rPr>
        <w:t>d) Deferring it indefinitely.</w:t>
      </w:r>
    </w:p>
    <w:p w14:paraId="46C471ED">
      <w:pPr>
        <w:pStyle w:val="34"/>
        <w:numPr>
          <w:ilvl w:val="0"/>
          <w:numId w:val="12"/>
        </w:numPr>
        <w:ind w:left="0"/>
        <w:rPr>
          <w:color w:val="1B1C1D"/>
        </w:rPr>
      </w:pPr>
      <w:r>
        <w:rPr>
          <w:color w:val="1B1C1D"/>
        </w:rPr>
        <w:t>Tax planning in the oil and gas industry aims to:</w:t>
      </w:r>
    </w:p>
    <w:p w14:paraId="2A82B23B">
      <w:pPr>
        <w:pStyle w:val="34"/>
        <w:rPr>
          <w:color w:val="1B1C1D"/>
        </w:rPr>
      </w:pPr>
      <w:r>
        <w:rPr>
          <w:color w:val="1B1C1D"/>
        </w:rPr>
        <w:t>a) Avoid paying any taxes.</w:t>
      </w:r>
    </w:p>
    <w:p w14:paraId="6EFDAE09">
      <w:pPr>
        <w:pStyle w:val="34"/>
        <w:rPr>
          <w:color w:val="1B1C1D"/>
        </w:rPr>
      </w:pPr>
      <w:r>
        <w:rPr>
          <w:color w:val="1B1C1D"/>
        </w:rPr>
        <w:t xml:space="preserve">b) Legally minimize the company's tax liability while complying with regulations.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300CC801">
      <w:pPr>
        <w:pStyle w:val="34"/>
        <w:rPr>
          <w:color w:val="1B1C1D"/>
        </w:rPr>
      </w:pPr>
      <w:r>
        <w:rPr>
          <w:color w:val="1B1C1D"/>
        </w:rPr>
        <w:t>c) Overstate profits to pay more taxes.</w:t>
      </w:r>
    </w:p>
    <w:p w14:paraId="3030DD74">
      <w:pPr>
        <w:pStyle w:val="34"/>
        <w:rPr>
          <w:color w:val="1B1C1D"/>
        </w:rPr>
      </w:pPr>
      <w:r>
        <w:rPr>
          <w:color w:val="1B1C1D"/>
        </w:rPr>
        <w:t>d) Ignore tax implications in decision-making.</w:t>
      </w:r>
    </w:p>
    <w:p w14:paraId="3C0C6B36">
      <w:pPr>
        <w:pStyle w:val="34"/>
        <w:numPr>
          <w:ilvl w:val="0"/>
          <w:numId w:val="12"/>
        </w:numPr>
        <w:ind w:left="0"/>
        <w:rPr>
          <w:color w:val="1B1C1D"/>
        </w:rPr>
      </w:pPr>
      <w:r>
        <w:rPr>
          <w:color w:val="1B1C1D"/>
        </w:rPr>
        <w:t>Fiscal regimes in different host countries can vary significantly in terms of:</w:t>
      </w:r>
    </w:p>
    <w:p w14:paraId="1830DA53">
      <w:pPr>
        <w:pStyle w:val="34"/>
        <w:rPr>
          <w:color w:val="1B1C1D"/>
        </w:rPr>
      </w:pPr>
      <w:r>
        <w:rPr>
          <w:color w:val="1B1C1D"/>
        </w:rPr>
        <w:t>a) The color of the national flag.</w:t>
      </w:r>
    </w:p>
    <w:p w14:paraId="7315391D">
      <w:pPr>
        <w:pStyle w:val="34"/>
        <w:rPr>
          <w:color w:val="1B1C1D"/>
        </w:rPr>
      </w:pPr>
      <w:r>
        <w:rPr>
          <w:color w:val="1B1C1D"/>
        </w:rPr>
        <w:t xml:space="preserve">b) Royalty rates, tax rates, and other government take provisions.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22076B68">
      <w:pPr>
        <w:pStyle w:val="34"/>
        <w:rPr>
          <w:color w:val="1B1C1D"/>
        </w:rPr>
      </w:pPr>
      <w:r>
        <w:rPr>
          <w:color w:val="1B1C1D"/>
        </w:rPr>
        <w:t>c) The language spoken.</w:t>
      </w:r>
    </w:p>
    <w:p w14:paraId="0EBB54CA">
      <w:pPr>
        <w:pStyle w:val="34"/>
        <w:rPr>
          <w:color w:val="1B1C1D"/>
        </w:rPr>
      </w:pPr>
      <w:r>
        <w:rPr>
          <w:color w:val="1B1C1D"/>
        </w:rPr>
        <w:t>d) The type of currency used.</w:t>
      </w:r>
    </w:p>
    <w:p w14:paraId="171ABCE2">
      <w:pPr>
        <w:pStyle w:val="34"/>
        <w:numPr>
          <w:ilvl w:val="0"/>
          <w:numId w:val="12"/>
        </w:numPr>
        <w:ind w:left="0"/>
        <w:rPr>
          <w:color w:val="1B1C1D"/>
        </w:rPr>
      </w:pPr>
      <w:r>
        <w:rPr>
          <w:color w:val="1B1C1D"/>
        </w:rPr>
        <w:t>Production sharing contracts (PSCs) often outline the specific:</w:t>
      </w:r>
    </w:p>
    <w:p w14:paraId="608B107B">
      <w:pPr>
        <w:pStyle w:val="34"/>
        <w:rPr>
          <w:color w:val="1B1C1D"/>
        </w:rPr>
      </w:pPr>
      <w:r>
        <w:rPr>
          <w:color w:val="1B1C1D"/>
        </w:rPr>
        <w:t>a) Geological surveys to be conducted.</w:t>
      </w:r>
    </w:p>
    <w:p w14:paraId="7BEF9951">
      <w:pPr>
        <w:pStyle w:val="34"/>
        <w:rPr>
          <w:color w:val="1B1C1D"/>
        </w:rPr>
      </w:pPr>
      <w:r>
        <w:rPr>
          <w:color w:val="1B1C1D"/>
        </w:rPr>
        <w:t xml:space="preserve">b) Fiscal terms, including the government's share of production and tax obligations.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1414352F">
      <w:pPr>
        <w:pStyle w:val="34"/>
        <w:rPr>
          <w:color w:val="1B1C1D"/>
        </w:rPr>
      </w:pPr>
      <w:r>
        <w:rPr>
          <w:color w:val="1B1C1D"/>
        </w:rPr>
        <w:t>c) Drilling technology to be used.</w:t>
      </w:r>
    </w:p>
    <w:p w14:paraId="66B3BFE7">
      <w:pPr>
        <w:pStyle w:val="34"/>
        <w:rPr>
          <w:color w:val="1B1C1D"/>
        </w:rPr>
      </w:pPr>
      <w:r>
        <w:rPr>
          <w:color w:val="1B1C1D"/>
        </w:rPr>
        <w:t>d) Marketing strategies for the produced oil and gas.</w:t>
      </w:r>
    </w:p>
    <w:p w14:paraId="36A8C9AB">
      <w:pPr>
        <w:pStyle w:val="34"/>
        <w:numPr>
          <w:ilvl w:val="0"/>
          <w:numId w:val="12"/>
        </w:numPr>
        <w:ind w:left="0"/>
        <w:rPr>
          <w:color w:val="1B1C1D"/>
        </w:rPr>
      </w:pPr>
      <w:r>
        <w:rPr>
          <w:color w:val="1B1C1D"/>
        </w:rPr>
        <w:t>Ring-fencing provisions in petroleum tax legislation typically:</w:t>
      </w:r>
    </w:p>
    <w:p w14:paraId="09774554">
      <w:pPr>
        <w:pStyle w:val="34"/>
        <w:rPr>
          <w:color w:val="1B1C1D"/>
        </w:rPr>
      </w:pPr>
      <w:r>
        <w:rPr>
          <w:color w:val="1B1C1D"/>
        </w:rPr>
        <w:t>a) Apply tax on a company's total global profits.</w:t>
      </w:r>
    </w:p>
    <w:p w14:paraId="1CD92A49">
      <w:pPr>
        <w:pStyle w:val="34"/>
        <w:rPr>
          <w:color w:val="1B1C1D"/>
        </w:rPr>
      </w:pPr>
      <w:r>
        <w:rPr>
          <w:color w:val="1B1C1D"/>
        </w:rPr>
        <w:t xml:space="preserve">b) Limit the deductibility of losses from one petroleum project against profits from another separate project.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4BA109FC">
      <w:pPr>
        <w:pStyle w:val="34"/>
        <w:rPr>
          <w:color w:val="1B1C1D"/>
        </w:rPr>
      </w:pPr>
      <w:r>
        <w:rPr>
          <w:color w:val="1B1C1D"/>
        </w:rPr>
        <w:t>c) Exempt small oil companies from taxes.</w:t>
      </w:r>
    </w:p>
    <w:p w14:paraId="41F42A8E">
      <w:pPr>
        <w:pStyle w:val="34"/>
        <w:rPr>
          <w:color w:val="1B1C1D"/>
        </w:rPr>
      </w:pPr>
      <w:r>
        <w:rPr>
          <w:color w:val="1B1C1D"/>
        </w:rPr>
        <w:t>d) Encourage investment in high-risk exploration areas.</w:t>
      </w:r>
    </w:p>
    <w:p w14:paraId="078A3755">
      <w:pPr>
        <w:pStyle w:val="34"/>
        <w:numPr>
          <w:ilvl w:val="0"/>
          <w:numId w:val="12"/>
        </w:numPr>
        <w:ind w:left="0"/>
        <w:rPr>
          <w:color w:val="1B1C1D"/>
        </w:rPr>
      </w:pPr>
      <w:r>
        <w:rPr>
          <w:color w:val="1B1C1D"/>
        </w:rPr>
        <w:t>Financial control over petroleum tax involves ensuring:</w:t>
      </w:r>
    </w:p>
    <w:p w14:paraId="34003A36">
      <w:pPr>
        <w:pStyle w:val="34"/>
        <w:rPr>
          <w:color w:val="1B1C1D"/>
        </w:rPr>
      </w:pPr>
      <w:r>
        <w:rPr>
          <w:color w:val="1B1C1D"/>
        </w:rPr>
        <w:t>a) The government always receives the maximum possible revenue.</w:t>
      </w:r>
    </w:p>
    <w:p w14:paraId="453D4D3C">
      <w:pPr>
        <w:pStyle w:val="34"/>
        <w:rPr>
          <w:color w:val="1B1C1D"/>
        </w:rPr>
      </w:pPr>
      <w:r>
        <w:rPr>
          <w:color w:val="1B1C1D"/>
        </w:rPr>
        <w:t xml:space="preserve">b) Accurate calculation and timely payment of taxes in accordance with the applicable fiscal regime.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54D3D691">
      <w:pPr>
        <w:pStyle w:val="34"/>
        <w:rPr>
          <w:color w:val="1B1C1D"/>
        </w:rPr>
      </w:pPr>
      <w:r>
        <w:rPr>
          <w:color w:val="1B1C1D"/>
        </w:rPr>
        <w:t>c) The company's tax liability is arbitrarily reduced.</w:t>
      </w:r>
    </w:p>
    <w:p w14:paraId="42277230">
      <w:pPr>
        <w:pStyle w:val="34"/>
        <w:rPr>
          <w:color w:val="1B1C1D"/>
        </w:rPr>
      </w:pPr>
      <w:r>
        <w:rPr>
          <w:color w:val="1B1C1D"/>
        </w:rPr>
        <w:t>d) All tax matters are handled informally.</w:t>
      </w:r>
    </w:p>
    <w:p w14:paraId="7433671A">
      <w:pPr>
        <w:pStyle w:val="34"/>
        <w:numPr>
          <w:ilvl w:val="0"/>
          <w:numId w:val="12"/>
        </w:numPr>
        <w:ind w:left="0"/>
        <w:rPr>
          <w:color w:val="1B1C1D"/>
        </w:rPr>
      </w:pPr>
      <w:r>
        <w:rPr>
          <w:color w:val="1B1C1D"/>
        </w:rPr>
        <w:t>International accounting standards require disclosure of:</w:t>
      </w:r>
    </w:p>
    <w:p w14:paraId="1B2C6AF9">
      <w:pPr>
        <w:pStyle w:val="34"/>
        <w:rPr>
          <w:color w:val="1B1C1D"/>
        </w:rPr>
      </w:pPr>
      <w:r>
        <w:rPr>
          <w:color w:val="1B1C1D"/>
        </w:rPr>
        <w:t>a) The personal income tax rates of the CEO.</w:t>
      </w:r>
    </w:p>
    <w:p w14:paraId="1774738F">
      <w:pPr>
        <w:pStyle w:val="34"/>
        <w:rPr>
          <w:color w:val="1B1C1D"/>
        </w:rPr>
      </w:pPr>
      <w:r>
        <w:rPr>
          <w:color w:val="1B1C1D"/>
        </w:rPr>
        <w:t xml:space="preserve">b) The major components of income tax expense or income related to petroleum operations.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03989BF6">
      <w:pPr>
        <w:pStyle w:val="34"/>
        <w:rPr>
          <w:color w:val="1B1C1D"/>
        </w:rPr>
      </w:pPr>
      <w:r>
        <w:rPr>
          <w:color w:val="1B1C1D"/>
        </w:rPr>
        <w:t>c) The geological details of oil reservoirs.</w:t>
      </w:r>
    </w:p>
    <w:p w14:paraId="2B40AE31">
      <w:pPr>
        <w:pStyle w:val="34"/>
        <w:rPr>
          <w:color w:val="1B1C1D"/>
        </w:rPr>
      </w:pPr>
      <w:r>
        <w:rPr>
          <w:color w:val="1B1C1D"/>
        </w:rPr>
        <w:t>d) The names of government officials involved in licensing.</w:t>
      </w:r>
    </w:p>
    <w:p w14:paraId="6C21B2A1">
      <w:pPr>
        <w:pStyle w:val="34"/>
        <w:spacing w:after="0" w:afterAutospacing="0"/>
        <w:rPr>
          <w:color w:val="1B1C1D"/>
        </w:rPr>
      </w:pPr>
      <w:r>
        <w:rPr>
          <w:rStyle w:val="35"/>
          <w:b w:val="0"/>
          <w:bCs w:val="0"/>
          <w:color w:val="1B1C1D"/>
        </w:rPr>
        <w:t>Section 7: Financial Control Activities in the Oil and Gas Industry</w:t>
      </w:r>
    </w:p>
    <w:p w14:paraId="37667114">
      <w:pPr>
        <w:pStyle w:val="34"/>
        <w:numPr>
          <w:ilvl w:val="0"/>
          <w:numId w:val="13"/>
        </w:numPr>
        <w:ind w:left="0"/>
        <w:rPr>
          <w:color w:val="1B1C1D"/>
        </w:rPr>
      </w:pPr>
      <w:r>
        <w:rPr>
          <w:color w:val="1B1C1D"/>
        </w:rPr>
        <w:t>Financial control activities in the oil and gas industry are designed to safeguard:</w:t>
      </w:r>
    </w:p>
    <w:p w14:paraId="154FCD5B">
      <w:pPr>
        <w:pStyle w:val="34"/>
        <w:rPr>
          <w:color w:val="1B1C1D"/>
        </w:rPr>
      </w:pPr>
      <w:r>
        <w:rPr>
          <w:color w:val="1B1C1D"/>
        </w:rPr>
        <w:t>a) Only the personal assets of the directors.</w:t>
      </w:r>
    </w:p>
    <w:p w14:paraId="51949899">
      <w:pPr>
        <w:pStyle w:val="34"/>
        <w:rPr>
          <w:color w:val="1B1C1D"/>
        </w:rPr>
      </w:pPr>
      <w:r>
        <w:rPr>
          <w:color w:val="1B1C1D"/>
        </w:rPr>
        <w:t xml:space="preserve">b) The company's assets and ensure the reliability of financial information.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5C20ED7B">
      <w:pPr>
        <w:pStyle w:val="34"/>
        <w:rPr>
          <w:color w:val="1B1C1D"/>
        </w:rPr>
      </w:pPr>
      <w:r>
        <w:rPr>
          <w:color w:val="1B1C1D"/>
        </w:rPr>
        <w:t>c) The host government's revenue at all costs.</w:t>
      </w:r>
    </w:p>
    <w:p w14:paraId="15FD240D">
      <w:pPr>
        <w:pStyle w:val="34"/>
        <w:rPr>
          <w:color w:val="1B1C1D"/>
        </w:rPr>
      </w:pPr>
      <w:r>
        <w:rPr>
          <w:color w:val="1B1C1D"/>
        </w:rPr>
        <w:t>d) The secrecy of operational details.</w:t>
      </w:r>
    </w:p>
    <w:p w14:paraId="02254A88">
      <w:pPr>
        <w:pStyle w:val="34"/>
        <w:numPr>
          <w:ilvl w:val="0"/>
          <w:numId w:val="13"/>
        </w:numPr>
        <w:ind w:left="0"/>
        <w:rPr>
          <w:color w:val="1B1C1D"/>
        </w:rPr>
      </w:pPr>
      <w:r>
        <w:rPr>
          <w:color w:val="1B1C1D"/>
        </w:rPr>
        <w:t>Internal controls are processes implemented by management to provide reasonable assurance regarding:</w:t>
      </w:r>
    </w:p>
    <w:p w14:paraId="2B0A9A8A">
      <w:pPr>
        <w:pStyle w:val="34"/>
        <w:rPr>
          <w:color w:val="1B1C1D"/>
        </w:rPr>
      </w:pPr>
      <w:r>
        <w:rPr>
          <w:color w:val="1B1C1D"/>
        </w:rPr>
        <w:t>a) The technical aspects of drilling.</w:t>
      </w:r>
    </w:p>
    <w:p w14:paraId="6DED0F71">
      <w:pPr>
        <w:pStyle w:val="34"/>
        <w:rPr>
          <w:color w:val="1B1C1D"/>
        </w:rPr>
      </w:pPr>
      <w:r>
        <w:rPr>
          <w:color w:val="1B1C1D"/>
        </w:rPr>
        <w:t xml:space="preserve">b) The achievement of objectives relating to operations, reporting, and compliance. </w:t>
      </w:r>
      <w:r>
        <w:rPr>
          <w:rFonts w:hint="eastAsia" w:ascii="MS Gothic" w:hAnsi="MS Gothic" w:eastAsia="MS Gothic" w:cs="MS Gothic"/>
          <w:color w:val="1B1C1D"/>
        </w:rPr>
        <w:t>✓</w:t>
      </w:r>
    </w:p>
    <w:p w14:paraId="2EC458B6">
      <w:pPr>
        <w:pStyle w:val="34"/>
        <w:rPr>
          <w:color w:val="1B1C1D"/>
        </w:rPr>
      </w:pPr>
      <w:r>
        <w:rPr>
          <w:color w:val="1B1C1D"/>
        </w:rPr>
        <w:t>c) The political stability of host countries.</w:t>
      </w:r>
    </w:p>
    <w:p w14:paraId="171B0B57">
      <w:pPr>
        <w:pStyle w:val="34"/>
        <w:rPr>
          <w:color w:val="1B1C1D"/>
        </w:rPr>
      </w:pPr>
      <w:r>
        <w:rPr>
          <w:color w:val="1B1C1D"/>
        </w:rPr>
        <w:t>d) The fluctuations in global oil prices.</w:t>
      </w:r>
    </w:p>
    <w:p w14:paraId="51B6AC85">
      <w:pPr>
        <w:spacing w:before="100" w:beforeAutospacing="1" w:after="0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Okay, let's continue with questions 30 through 140 for your examination on </w:t>
      </w: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INTERNATIONAL PETROLEUM ACCOUNTING</w:t>
      </w: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:</w:t>
      </w:r>
    </w:p>
    <w:p w14:paraId="1BC1A917">
      <w:pPr>
        <w:numPr>
          <w:ilvl w:val="0"/>
          <w:numId w:val="14"/>
        </w:numPr>
        <w:spacing w:before="100" w:beforeAutospacing="1" w:after="120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Accounting for pre-license and license acquisition costs can significantly impact a company's: a) Cash flow statement. b) Reported earnings in the early stages of exploration. </w:t>
      </w:r>
      <w:r>
        <w:rPr>
          <w:rFonts w:hint="eastAsia" w:ascii="MS Gothic" w:hAnsi="MS Gothic" w:eastAsia="MS Gothic" w:cs="MS Gothic"/>
          <w:color w:val="1B1C1D"/>
          <w:sz w:val="24"/>
          <w:szCs w:val="24"/>
        </w:rPr>
        <w:t>✓</w:t>
      </w: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 c) Statement of changes in equity. d) Production volumes.</w:t>
      </w:r>
    </w:p>
    <w:p w14:paraId="2F87BA43">
      <w:pPr>
        <w:spacing w:before="100" w:beforeAutospacing="1" w:after="0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Section 4: Accounting for Exploratory Drilling and Appraisal Costs (Successful Efforts)</w:t>
      </w:r>
    </w:p>
    <w:p w14:paraId="38281354">
      <w:pPr>
        <w:numPr>
          <w:ilvl w:val="0"/>
          <w:numId w:val="15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Under the Successful Efforts method, costs of drilling exploratory wells that find proved reserves are:</w:t>
      </w:r>
    </w:p>
    <w:p w14:paraId="12B835F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Expensed immediately.</w:t>
      </w:r>
    </w:p>
    <w:p w14:paraId="7993F3C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Capitalized as part of the cost of the related reserves.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3726595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Deferred and amortized over a short period.</w:t>
      </w:r>
    </w:p>
    <w:p w14:paraId="2D2D3DC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Written off against revenue.</w:t>
      </w:r>
    </w:p>
    <w:p w14:paraId="71072141">
      <w:pPr>
        <w:numPr>
          <w:ilvl w:val="0"/>
          <w:numId w:val="15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Costs of drilling exploratory wells that do not find proved reserves are:</w:t>
      </w:r>
    </w:p>
    <w:p w14:paraId="7987364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Capitalized indefinitely.</w:t>
      </w:r>
    </w:p>
    <w:p w14:paraId="5EF55A6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Expensed as dry holes.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4099224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Transferred to other successful wells.</w:t>
      </w:r>
    </w:p>
    <w:p w14:paraId="517B050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Amortized over a long period.</w:t>
      </w:r>
    </w:p>
    <w:p w14:paraId="497D0E52">
      <w:pPr>
        <w:numPr>
          <w:ilvl w:val="0"/>
          <w:numId w:val="15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Appraisal wells are drilled to:</w:t>
      </w:r>
    </w:p>
    <w:p w14:paraId="4A4DB61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Search for new hydrocarbon-bearing formations.</w:t>
      </w:r>
    </w:p>
    <w:p w14:paraId="5623D58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Evaluate the size and commerciality of a discovered reservoir.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76D0F2A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Produce oil and gas.</w:t>
      </w:r>
    </w:p>
    <w:p w14:paraId="4427E36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Inject water or gas for enhanced recovery.</w:t>
      </w:r>
    </w:p>
    <w:p w14:paraId="16B7D950">
      <w:pPr>
        <w:numPr>
          <w:ilvl w:val="0"/>
          <w:numId w:val="15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Under Successful Efforts, costs of appraisal wells that confirm the commerciality of a discovery are:</w:t>
      </w:r>
    </w:p>
    <w:p w14:paraId="21C8E60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Expensed immediately.</w:t>
      </w:r>
    </w:p>
    <w:p w14:paraId="4690516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Capitalized as part of the development costs.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40DE2E2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Deferred until production commences.</w:t>
      </w:r>
    </w:p>
    <w:p w14:paraId="1858737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Written off against exploration expenses.</w:t>
      </w:r>
    </w:p>
    <w:p w14:paraId="7AB03084">
      <w:pPr>
        <w:numPr>
          <w:ilvl w:val="0"/>
          <w:numId w:val="15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Costs of appraisal wells that prove a discovery to be non-commercial are:</w:t>
      </w:r>
    </w:p>
    <w:p w14:paraId="0214DF9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Capitalized indefinitely.</w:t>
      </w:r>
    </w:p>
    <w:p w14:paraId="30AF6EF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Expensed.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4C57DA4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Transferred to other successful fields.</w:t>
      </w:r>
    </w:p>
    <w:p w14:paraId="456C670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Amortized over a long period.</w:t>
      </w:r>
    </w:p>
    <w:p w14:paraId="62ED9560">
      <w:pPr>
        <w:numPr>
          <w:ilvl w:val="0"/>
          <w:numId w:val="15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The accounting treatment for exploratory and appraisal drilling costs under Successful Efforts is based on the principle of:</w:t>
      </w:r>
    </w:p>
    <w:p w14:paraId="25A39DD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Conservatism.</w:t>
      </w:r>
    </w:p>
    <w:p w14:paraId="2216E74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Matching revenue with the costs that generated that revenue.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76528BF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Full disclosure.</w:t>
      </w:r>
    </w:p>
    <w:p w14:paraId="39FA606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Materiality.</w:t>
      </w:r>
    </w:p>
    <w:p w14:paraId="5C51964B">
      <w:pPr>
        <w:numPr>
          <w:ilvl w:val="0"/>
          <w:numId w:val="15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If an exploratory well is temporarily capped pending further evaluation, its costs may be:</w:t>
      </w:r>
    </w:p>
    <w:p w14:paraId="1E305B3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Expensed immediately.</w:t>
      </w:r>
    </w:p>
    <w:p w14:paraId="6E06AC6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Capitalized, subject to periodic assessment for impairment.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2CFC301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Amortized over a short period.</w:t>
      </w:r>
    </w:p>
    <w:p w14:paraId="355DA9C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Written off against future revenue.</w:t>
      </w:r>
    </w:p>
    <w:p w14:paraId="611C70BD">
      <w:pPr>
        <w:numPr>
          <w:ilvl w:val="0"/>
          <w:numId w:val="15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Geological and geophysical costs directly related to a specific exploratory well that is successful may be:</w:t>
      </w:r>
    </w:p>
    <w:p w14:paraId="52BD231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Expensed separately.</w:t>
      </w:r>
    </w:p>
    <w:p w14:paraId="7257931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Capitalized as part of the well cost.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548C788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Deferred and amortized.</w:t>
      </w:r>
    </w:p>
    <w:p w14:paraId="3336A40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Written off against revenue.</w:t>
      </w:r>
    </w:p>
    <w:p w14:paraId="70039BCD">
      <w:pPr>
        <w:numPr>
          <w:ilvl w:val="0"/>
          <w:numId w:val="15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The Successful Efforts method can result in more volatile earnings compared to the Full Cost method because:</w:t>
      </w:r>
    </w:p>
    <w:p w14:paraId="1D88652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All exploration costs are capitalized.</w:t>
      </w:r>
    </w:p>
    <w:p w14:paraId="410B9B6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Dry hole costs are expensed immediately.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12D39DE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Production costs are expensed as incurred.</w:t>
      </w:r>
    </w:p>
    <w:p w14:paraId="2C60D19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Revenue is recognized earlier.</w:t>
      </w:r>
    </w:p>
    <w:p w14:paraId="5F0A63D9">
      <w:pPr>
        <w:numPr>
          <w:ilvl w:val="0"/>
          <w:numId w:val="15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Proper documentation of drilling results and reserve estimates is crucial for the correct accounting treatment of:</w:t>
      </w:r>
    </w:p>
    <w:p w14:paraId="1706A01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Administrative overhead.</w:t>
      </w:r>
    </w:p>
    <w:p w14:paraId="686C92D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Exploratory and appraisal costs under Successful Efforts.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2A31BC9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Marketing expenses.</w:t>
      </w:r>
    </w:p>
    <w:p w14:paraId="0AB3DDA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Transportation costs.</w:t>
      </w:r>
    </w:p>
    <w:p w14:paraId="143E0DE5">
      <w:pPr>
        <w:spacing w:before="100" w:beforeAutospacing="1" w:after="0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Section 5: Royalties</w:t>
      </w:r>
    </w:p>
    <w:p w14:paraId="5305998A">
      <w:pPr>
        <w:numPr>
          <w:ilvl w:val="0"/>
          <w:numId w:val="16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Royalties in the oil and gas industry are payments made to the:</w:t>
      </w:r>
    </w:p>
    <w:p w14:paraId="4DDEC97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Drilling contractor.</w:t>
      </w:r>
    </w:p>
    <w:p w14:paraId="23C8F7D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Host government or mineral rights owner for the right to produce oil and gas.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5B7A709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Pipeline transportation company.</w:t>
      </w:r>
    </w:p>
    <w:p w14:paraId="61222F4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Refining company.</w:t>
      </w:r>
    </w:p>
    <w:p w14:paraId="2120AA33">
      <w:pPr>
        <w:numPr>
          <w:ilvl w:val="0"/>
          <w:numId w:val="16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Royalties are typically calculated as a:</w:t>
      </w:r>
    </w:p>
    <w:p w14:paraId="51EDA8D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Fixed amount per well.</w:t>
      </w:r>
    </w:p>
    <w:p w14:paraId="32B49DA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Percentage of the value or volume of oil and gas produced.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1CC3803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Deduction from operating expenses.</w:t>
      </w:r>
    </w:p>
    <w:p w14:paraId="7FA948A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Capital expenditure.</w:t>
      </w:r>
    </w:p>
    <w:p w14:paraId="5F4865C9">
      <w:pPr>
        <w:numPr>
          <w:ilvl w:val="0"/>
          <w:numId w:val="16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The accounting for royalties involves:</w:t>
      </w:r>
    </w:p>
    <w:p w14:paraId="128034B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Capitalizing them as part of the asset cost.</w:t>
      </w:r>
    </w:p>
    <w:p w14:paraId="44BDE6C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Recognizing them as an expense as the oil and gas is produced and sold.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5B61B12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Deferring them until the well is abandoned.</w:t>
      </w:r>
    </w:p>
    <w:p w14:paraId="5D436E9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Ignoring them if they are below a certain threshold.</w:t>
      </w:r>
    </w:p>
    <w:p w14:paraId="0188C67D">
      <w:pPr>
        <w:numPr>
          <w:ilvl w:val="0"/>
          <w:numId w:val="16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The specific terms and rates of royalties are usually defined in the:</w:t>
      </w:r>
    </w:p>
    <w:p w14:paraId="584CE17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Company's internal accounting policies.</w:t>
      </w:r>
    </w:p>
    <w:p w14:paraId="3627E82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Petroleum license or production sharing contract.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33088DF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International accounting standards.</w:t>
      </w:r>
    </w:p>
    <w:p w14:paraId="06AF79A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Tax regulations.</w:t>
      </w:r>
    </w:p>
    <w:p w14:paraId="2EDFF9DF">
      <w:pPr>
        <w:numPr>
          <w:ilvl w:val="0"/>
          <w:numId w:val="16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Different types of royalty arrangements may exist, such as:</w:t>
      </w:r>
    </w:p>
    <w:p w14:paraId="256EEBA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Only fixed percentage royalties.</w:t>
      </w:r>
    </w:p>
    <w:p w14:paraId="5A9BAFD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Fixed percentage, variable percentage based on production levels or prices, or in-kind royalties.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52BF8EE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Royalties paid in advance.</w:t>
      </w:r>
    </w:p>
    <w:p w14:paraId="35D358B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Royalties based on profit.</w:t>
      </w:r>
    </w:p>
    <w:p w14:paraId="569340B1">
      <w:pPr>
        <w:numPr>
          <w:ilvl w:val="0"/>
          <w:numId w:val="16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In-kind royalties involve the payment of royalties:</w:t>
      </w:r>
    </w:p>
    <w:p w14:paraId="4EFECBF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In cash.</w:t>
      </w:r>
    </w:p>
    <w:p w14:paraId="19BC341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In a share of the produced oil and gas.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04A1205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Through tax credits.</w:t>
      </w:r>
    </w:p>
    <w:p w14:paraId="21A0C84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As a fixed fee.</w:t>
      </w:r>
    </w:p>
    <w:p w14:paraId="5FBEFEBA">
      <w:pPr>
        <w:numPr>
          <w:ilvl w:val="0"/>
          <w:numId w:val="16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The accounting for in-kind royalties requires determining the:</w:t>
      </w:r>
    </w:p>
    <w:p w14:paraId="344E868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Historical cost of the produced oil and gas.</w:t>
      </w:r>
    </w:p>
    <w:p w14:paraId="7201B86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Fair value of the royalty share at the time of production.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0D5C752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Transportation cost of the royalty share.</w:t>
      </w:r>
    </w:p>
    <w:p w14:paraId="775EAAF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Refining cost of the royalty share.</w:t>
      </w:r>
    </w:p>
    <w:p w14:paraId="661F2206">
      <w:pPr>
        <w:numPr>
          <w:ilvl w:val="0"/>
          <w:numId w:val="16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Production taxes levied by the host government are:</w:t>
      </w:r>
    </w:p>
    <w:p w14:paraId="1D85A0D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Accounted for as royalties.</w:t>
      </w:r>
    </w:p>
    <w:p w14:paraId="05AE088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Typically treated as operating expenses or a separate component of government take.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4856FC7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Capitalized as part of the asset cost.</w:t>
      </w:r>
    </w:p>
    <w:p w14:paraId="21C8785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Deferred and amortized.</w:t>
      </w:r>
    </w:p>
    <w:p w14:paraId="3688323B">
      <w:pPr>
        <w:numPr>
          <w:ilvl w:val="0"/>
          <w:numId w:val="16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Financial control over royalty payments is essential to ensure:</w:t>
      </w:r>
    </w:p>
    <w:p w14:paraId="09B00CF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Maximizing the company's profit at the expense of the host government.</w:t>
      </w:r>
    </w:p>
    <w:p w14:paraId="36E7AC5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Compliance with contractual terms and accurate reporting of government revenues.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73F9E02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Minimizing production volumes.</w:t>
      </w:r>
    </w:p>
    <w:p w14:paraId="6605BF5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Avoiding any interaction with government agencies.</w:t>
      </w:r>
    </w:p>
    <w:p w14:paraId="668874DD">
      <w:pPr>
        <w:numPr>
          <w:ilvl w:val="0"/>
          <w:numId w:val="16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International accounting standards provide guidance on the recognition and measurement of:</w:t>
      </w:r>
    </w:p>
    <w:p w14:paraId="1062F3C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The geological formation of oil reservoirs.</w:t>
      </w:r>
    </w:p>
    <w:p w14:paraId="253652D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Royalties and other government levies.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73BC539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technical specifications of drilling equipment.</w:t>
      </w:r>
    </w:p>
    <w:p w14:paraId="017C4CE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political risks in host countries.</w:t>
      </w:r>
    </w:p>
    <w:p w14:paraId="557D4395">
      <w:pPr>
        <w:spacing w:before="100" w:beforeAutospacing="1" w:after="0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Section 6: Petroleum Tax</w:t>
      </w:r>
    </w:p>
    <w:p w14:paraId="7414EE6D">
      <w:pPr>
        <w:numPr>
          <w:ilvl w:val="0"/>
          <w:numId w:val="17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Petroleum taxes are levies imposed by host governments on:</w:t>
      </w:r>
    </w:p>
    <w:p w14:paraId="65640B5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The number of employees in oil companies.</w:t>
      </w:r>
    </w:p>
    <w:p w14:paraId="762DB0A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The profits or revenues generated from petroleum operations.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1C77686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volume of water injected for enhanced recovery.</w:t>
      </w:r>
    </w:p>
    <w:p w14:paraId="46A6108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size of the licensed area.</w:t>
      </w:r>
    </w:p>
    <w:p w14:paraId="200C0392">
      <w:pPr>
        <w:numPr>
          <w:ilvl w:val="0"/>
          <w:numId w:val="17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Common forms of petroleum tax include:</w:t>
      </w:r>
    </w:p>
    <w:p w14:paraId="45D1BAE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Only corporate income tax.</w:t>
      </w:r>
    </w:p>
    <w:p w14:paraId="24A7538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Corporate income tax, resource rent tax, and other specific petroleum taxes.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4E968CD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Value-added tax (VAT).</w:t>
      </w:r>
    </w:p>
    <w:p w14:paraId="001EE2B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Sales tax.</w:t>
      </w:r>
    </w:p>
    <w:p w14:paraId="770AD665">
      <w:pPr>
        <w:numPr>
          <w:ilvl w:val="0"/>
          <w:numId w:val="17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Resource rent tax (RRT) is typically based on the:</w:t>
      </w:r>
    </w:p>
    <w:p w14:paraId="3DCE8E4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Total revenue generated.</w:t>
      </w:r>
    </w:p>
    <w:p w14:paraId="23BEA88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Profitability of the petroleum project after deducting allowable costs and a return on investment.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0BA6408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Volume of oil and gas produced.</w:t>
      </w:r>
    </w:p>
    <w:p w14:paraId="44A087A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Initial capital investment.</w:t>
      </w:r>
    </w:p>
    <w:p w14:paraId="394067B4">
      <w:pPr>
        <w:numPr>
          <w:ilvl w:val="0"/>
          <w:numId w:val="17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The accounting for petroleum tax involves:</w:t>
      </w:r>
    </w:p>
    <w:p w14:paraId="44BD49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Ignoring it as it is paid to the government.</w:t>
      </w:r>
    </w:p>
    <w:p w14:paraId="205F48C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Recognizing it as an expense in the period the taxable profit is earned.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2668E7A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Capitalizing it as part of the asset cost.</w:t>
      </w:r>
    </w:p>
    <w:p w14:paraId="2AFA481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Deferring it indefinitely.</w:t>
      </w:r>
    </w:p>
    <w:p w14:paraId="5CBD0DA6">
      <w:pPr>
        <w:numPr>
          <w:ilvl w:val="0"/>
          <w:numId w:val="17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Tax planning in the oil and gas industry aims to:</w:t>
      </w:r>
    </w:p>
    <w:p w14:paraId="3B58D15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Avoid paying any taxes.</w:t>
      </w:r>
    </w:p>
    <w:p w14:paraId="75A6573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Legally minimize the company's tax liability while complying with regulations.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2E806D2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Overstate profits to pay more taxes.</w:t>
      </w:r>
    </w:p>
    <w:p w14:paraId="335AB93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Ignore tax implications in decision-making.</w:t>
      </w:r>
    </w:p>
    <w:p w14:paraId="41A1D060">
      <w:pPr>
        <w:numPr>
          <w:ilvl w:val="0"/>
          <w:numId w:val="17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Fiscal regimes in different host countries can vary significantly in terms of:</w:t>
      </w:r>
    </w:p>
    <w:p w14:paraId="51B95B8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The color of the national flag.</w:t>
      </w:r>
    </w:p>
    <w:p w14:paraId="3256DA4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Royalty rates, tax rates, and other government take provisions.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39656F4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language spoken.</w:t>
      </w:r>
    </w:p>
    <w:p w14:paraId="30C76D2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type of currency used.</w:t>
      </w:r>
    </w:p>
    <w:p w14:paraId="62E53C79">
      <w:pPr>
        <w:numPr>
          <w:ilvl w:val="0"/>
          <w:numId w:val="17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Production sharing contracts (PSCs) often outline the specific:</w:t>
      </w:r>
    </w:p>
    <w:p w14:paraId="44DCA87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Geological surveys to be conducted.</w:t>
      </w:r>
    </w:p>
    <w:p w14:paraId="6ABD60A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Fiscal terms, including the government's share of production and tax obligations.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47537A0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Drilling technology to be used.</w:t>
      </w:r>
    </w:p>
    <w:p w14:paraId="5133BF4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Marketing strategies for the produced oil and gas.</w:t>
      </w:r>
    </w:p>
    <w:p w14:paraId="7305A88E">
      <w:pPr>
        <w:numPr>
          <w:ilvl w:val="0"/>
          <w:numId w:val="17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Ring-fencing provisions in petroleum tax legislation typically:</w:t>
      </w:r>
    </w:p>
    <w:p w14:paraId="08F95FA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Apply tax on a company's total global profits.</w:t>
      </w:r>
    </w:p>
    <w:p w14:paraId="3524009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Limit the deductibility of losses from one petroleum project against profits from another separate project.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565DBE2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Exempt small oil companies from taxes.</w:t>
      </w:r>
    </w:p>
    <w:p w14:paraId="15FD749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Encourage investment in high-risk exploration areas.</w:t>
      </w:r>
    </w:p>
    <w:p w14:paraId="1F32DB96">
      <w:pPr>
        <w:numPr>
          <w:ilvl w:val="0"/>
          <w:numId w:val="17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Financial control over petroleum tax involves ensuring:</w:t>
      </w:r>
    </w:p>
    <w:p w14:paraId="2FCF805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The government always receives the maximum possible revenue.</w:t>
      </w:r>
    </w:p>
    <w:p w14:paraId="7BEF581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Accurate calculation and timely payment of taxes in accordance with the applicable fiscal regime.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0A33F09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company's tax liability is arbitrarily reduced.</w:t>
      </w:r>
    </w:p>
    <w:p w14:paraId="0EA8396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All tax matters are handled informally.</w:t>
      </w:r>
    </w:p>
    <w:p w14:paraId="737685AF">
      <w:pPr>
        <w:numPr>
          <w:ilvl w:val="0"/>
          <w:numId w:val="17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International accounting standards require disclosure of:</w:t>
      </w:r>
    </w:p>
    <w:p w14:paraId="211801D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The personal income tax rates of the CEO.</w:t>
      </w:r>
    </w:p>
    <w:p w14:paraId="6208466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The major components of income tax expense or income related to petroleum operations.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4D75FD4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geological details of oil reservoirs.</w:t>
      </w:r>
    </w:p>
    <w:p w14:paraId="2FE0C17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names of government officials involved in licensing.</w:t>
      </w:r>
    </w:p>
    <w:p w14:paraId="42016378">
      <w:pPr>
        <w:spacing w:before="100" w:beforeAutospacing="1" w:after="0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Section 7: Financial Control Activities in the Oil and Gas Industry</w:t>
      </w:r>
    </w:p>
    <w:p w14:paraId="68D773DB">
      <w:pPr>
        <w:numPr>
          <w:ilvl w:val="0"/>
          <w:numId w:val="18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Financial control activities in the oil and gas industry are designed to safeguard:</w:t>
      </w:r>
    </w:p>
    <w:p w14:paraId="1D017BA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Only the personal assets of the directors.</w:t>
      </w:r>
    </w:p>
    <w:p w14:paraId="12E4434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The company's assets and ensure the reliability of financial information.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2148B57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host government's revenue at all costs.</w:t>
      </w:r>
    </w:p>
    <w:p w14:paraId="3BD0EA1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secrecy of operational details.</w:t>
      </w:r>
    </w:p>
    <w:p w14:paraId="14441AD1">
      <w:pPr>
        <w:numPr>
          <w:ilvl w:val="0"/>
          <w:numId w:val="18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Internal controls are processes implemented by management to provide reasonable assurance regarding:</w:t>
      </w:r>
    </w:p>
    <w:p w14:paraId="4207D14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The technical aspects of drilling.</w:t>
      </w:r>
    </w:p>
    <w:p w14:paraId="27C301C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The achievement of objectives relating to operations, reporting, and compliance.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7FE6D0F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political stability of host countries.</w:t>
      </w:r>
    </w:p>
    <w:p w14:paraId="5FE19EF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fluctuations in global oil prices.</w:t>
      </w:r>
    </w:p>
    <w:p w14:paraId="7D5ADABB">
      <w:pPr>
        <w:numPr>
          <w:ilvl w:val="0"/>
          <w:numId w:val="18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Examples of financial control activities include:</w:t>
      </w:r>
    </w:p>
    <w:p w14:paraId="7446FF5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Only daily production reports.</w:t>
      </w:r>
    </w:p>
    <w:p w14:paraId="0BCE686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Authorization procedures, segregation of duties, reconciliations, and physical controls over assets.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09BB7A8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Informal agreements with contractors.</w:t>
      </w:r>
    </w:p>
    <w:p w14:paraId="56C0E7D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Public announcements of exploration results.</w:t>
      </w:r>
    </w:p>
    <w:p w14:paraId="16A5D09E">
      <w:pPr>
        <w:numPr>
          <w:ilvl w:val="0"/>
          <w:numId w:val="18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Segregation of duties aims to:</w:t>
      </w:r>
    </w:p>
    <w:p w14:paraId="32C8ABB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Increase the workload of individual employees.</w:t>
      </w:r>
    </w:p>
    <w:p w14:paraId="6784059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Prevent fraud and errors by dividing responsibilities among different individuals.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41AD3A9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Simplify the accounting system.</w:t>
      </w:r>
    </w:p>
    <w:p w14:paraId="57C0691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Reduce the need for supervision.</w:t>
      </w:r>
    </w:p>
    <w:p w14:paraId="0EBC9297">
      <w:pPr>
        <w:numPr>
          <w:ilvl w:val="0"/>
          <w:numId w:val="18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Authorization procedures ensure that transactions are:</w:t>
      </w:r>
    </w:p>
    <w:p w14:paraId="2746562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Recorded immediately.</w:t>
      </w:r>
    </w:p>
    <w:p w14:paraId="4445F48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Approved by the appropriate level of management.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3BEA7CF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Kept secret from external auditors.</w:t>
      </w:r>
    </w:p>
    <w:p w14:paraId="3058CA7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Processed quickly, regardless of accuracy.</w:t>
      </w:r>
    </w:p>
    <w:p w14:paraId="22B61C56">
      <w:pPr>
        <w:numPr>
          <w:ilvl w:val="0"/>
          <w:numId w:val="18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Reconciliations are performed to:</w:t>
      </w:r>
    </w:p>
    <w:p w14:paraId="07292F4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a) Make financial records agree with physical counts or external sources.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6A9FE53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b) Delay the recording of transactions.</w:t>
      </w:r>
    </w:p>
    <w:p w14:paraId="64D2C89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Hide discrepancies.</w:t>
      </w:r>
    </w:p>
    <w:p w14:paraId="2AA0AC9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Eliminate the need for internal audits.</w:t>
      </w:r>
    </w:p>
    <w:p w14:paraId="749BF7BA">
      <w:pPr>
        <w:numPr>
          <w:ilvl w:val="0"/>
          <w:numId w:val="18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Physical controls over assets are important for:</w:t>
      </w:r>
    </w:p>
    <w:p w14:paraId="780C245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Increasing production quotas.</w:t>
      </w:r>
    </w:p>
    <w:p w14:paraId="2739924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Preventing theft, damage, or unauthorized use of equipment and inventory.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7E9F05C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Simplifying the accounting for fixed assets.</w:t>
      </w:r>
    </w:p>
    <w:p w14:paraId="77BCCA5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Reducing insurance costs.</w:t>
      </w:r>
    </w:p>
    <w:p w14:paraId="278E3850">
      <w:pPr>
        <w:numPr>
          <w:ilvl w:val="0"/>
          <w:numId w:val="18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Internal audits are conducted by:</w:t>
      </w:r>
    </w:p>
    <w:p w14:paraId="1D8775F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External government agencies.</w:t>
      </w:r>
    </w:p>
    <w:p w14:paraId="790F66A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Employees within the company to assess the effectiveness of internal controls.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45AE4D4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Independent accounting firms to provide an opinion on financial statements.</w:t>
      </w:r>
    </w:p>
    <w:p w14:paraId="5CE5AD7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Shareholders to monitor management performance.</w:t>
      </w:r>
    </w:p>
    <w:p w14:paraId="10130A7F">
      <w:pPr>
        <w:numPr>
          <w:ilvl w:val="0"/>
          <w:numId w:val="18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Financial reporting in the oil and gas industry requires a high degree of accuracy and transparency due to:</w:t>
      </w:r>
    </w:p>
    <w:p w14:paraId="3197F55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The simplicity of the operations.</w:t>
      </w:r>
    </w:p>
    <w:p w14:paraId="3E3CB4F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The significant financial stakes and the scrutiny from investors, regulators, and host governments.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502261B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lack of specific accounting standards.</w:t>
      </w:r>
    </w:p>
    <w:p w14:paraId="57FC279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immateriality of the amounts involved.</w:t>
      </w:r>
    </w:p>
    <w:p w14:paraId="01A21D4B">
      <w:pPr>
        <w:numPr>
          <w:ilvl w:val="0"/>
          <w:numId w:val="18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Financial control activities extend to:</w:t>
      </w:r>
    </w:p>
    <w:p w14:paraId="315D75C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Only accounting and finance departments.</w:t>
      </w:r>
    </w:p>
    <w:p w14:paraId="08B6A78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All aspects of upstream petroleum operations, from exploration to production and decommissioning.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66508DB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Only the executive management team.</w:t>
      </w:r>
    </w:p>
    <w:p w14:paraId="6C08A8A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Only joint venture partners.</w:t>
      </w:r>
    </w:p>
    <w:p w14:paraId="77C44210">
      <w:pPr>
        <w:spacing w:before="100" w:beforeAutospacing="1" w:after="0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Section 8: Further Considerations in International Petroleum Accounting</w:t>
      </w:r>
    </w:p>
    <w:p w14:paraId="69BF3A64">
      <w:pPr>
        <w:numPr>
          <w:ilvl w:val="0"/>
          <w:numId w:val="19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International petroleum accounting often involves dealing with:</w:t>
      </w:r>
    </w:p>
    <w:p w14:paraId="0EB60B6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A single currency.</w:t>
      </w:r>
    </w:p>
    <w:p w14:paraId="06EAB10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Multiple currencies and the impact of exchange rate fluctuations.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44C838B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Very simple contractual arrangements.</w:t>
      </w:r>
    </w:p>
    <w:p w14:paraId="34F3AD8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Uniform regulatory frameworks across all countries.</w:t>
      </w:r>
    </w:p>
    <w:p w14:paraId="3FD384F2">
      <w:pPr>
        <w:numPr>
          <w:ilvl w:val="0"/>
          <w:numId w:val="19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Production sharing contracts (PSCs) can create complexities in accounting for:</w:t>
      </w:r>
    </w:p>
    <w:p w14:paraId="76AC9F5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Employee salaries.</w:t>
      </w:r>
    </w:p>
    <w:p w14:paraId="314F500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Revenue recognition, cost recovery, and profit sharing with the host government.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3D32A6F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Routine operating expenses.</w:t>
      </w:r>
    </w:p>
    <w:p w14:paraId="49509E3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physical movement of oil and gas.</w:t>
      </w:r>
    </w:p>
    <w:p w14:paraId="390EE8CE">
      <w:pPr>
        <w:numPr>
          <w:ilvl w:val="0"/>
          <w:numId w:val="19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Cost recovery under a PSC allows the oil company to:</w:t>
      </w:r>
    </w:p>
    <w:p w14:paraId="1A11914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Recover all costs incurred regardless of profitability.</w:t>
      </w:r>
    </w:p>
    <w:p w14:paraId="5A69152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Recover a defined portion of their exploration, development, and operating costs from the revenue generated.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1E6D111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Expense all costs immediately.</w:t>
      </w:r>
    </w:p>
    <w:p w14:paraId="51DF04A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Capitalize all costs indefinitely.</w:t>
      </w:r>
    </w:p>
    <w:p w14:paraId="5E4722FC">
      <w:pPr>
        <w:numPr>
          <w:ilvl w:val="0"/>
          <w:numId w:val="19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The accounting for joint venture operations in the oil and gas industry typically involves:</w:t>
      </w:r>
    </w:p>
    <w:p w14:paraId="7B41D84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Each partner accounting only for their own direct expenses.</w:t>
      </w:r>
    </w:p>
    <w:p w14:paraId="4714268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Specific agreements outlining the sharing of costs, revenues, and assets, often using proportionate consolidation or the equity method.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5DA94E7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One partner consolidating 100% of the operations.</w:t>
      </w:r>
    </w:p>
    <w:p w14:paraId="3E85EAD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Ignoring the joint ownership aspect.</w:t>
      </w:r>
    </w:p>
    <w:p w14:paraId="67CBDD29">
      <w:pPr>
        <w:numPr>
          <w:ilvl w:val="0"/>
          <w:numId w:val="19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Transfer pricing issues can arise in international petroleum operations when:</w:t>
      </w:r>
    </w:p>
    <w:p w14:paraId="7862E7A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All transactions are conducted at arm's length.</w:t>
      </w:r>
    </w:p>
    <w:p w14:paraId="213E8C7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Related parties (e.g., parent and subsidiary) transact at prices that may not reflect market values.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4CC7E47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There are no international sales of crude oil.</w:t>
      </w:r>
    </w:p>
    <w:p w14:paraId="6CBE869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All subsidiaries operate in the same tax jurisdiction.</w:t>
      </w:r>
    </w:p>
    <w:p w14:paraId="5A37B508">
      <w:pPr>
        <w:numPr>
          <w:ilvl w:val="0"/>
          <w:numId w:val="19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Environmental regulations in different countries can significantly impact the:</w:t>
      </w:r>
    </w:p>
    <w:p w14:paraId="0759CF2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Color of safety equipment.</w:t>
      </w:r>
    </w:p>
    <w:p w14:paraId="560F0E6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Costs of petroleum operations, particularly decommissioning and site restoration.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7026C74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language used in technical manuals.</w:t>
      </w:r>
    </w:p>
    <w:p w14:paraId="09823B6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brand names of petroleum products.</w:t>
      </w:r>
    </w:p>
    <w:p w14:paraId="3C89C7D7">
      <w:pPr>
        <w:numPr>
          <w:ilvl w:val="0"/>
          <w:numId w:val="19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Political risks in host countries (e.g., expropriation, changes in fiscal terms) can affect the:</w:t>
      </w:r>
    </w:p>
    <w:p w14:paraId="3BCD588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Geological characteristics of oil reservoirs.</w:t>
      </w:r>
    </w:p>
    <w:p w14:paraId="7700ADE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Recoverability of investments and the profitability of projects.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718395E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efficiency of drilling equipment.</w:t>
      </w:r>
    </w:p>
    <w:p w14:paraId="4E229B5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global demand for oil.</w:t>
      </w:r>
    </w:p>
    <w:p w14:paraId="5D771BE1">
      <w:pPr>
        <w:numPr>
          <w:ilvl w:val="0"/>
          <w:numId w:val="19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International accounting standards require specific disclosures related to:</w:t>
      </w:r>
    </w:p>
    <w:p w14:paraId="335563D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The names of all employees.</w:t>
      </w:r>
    </w:p>
    <w:p w14:paraId="42627F5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A company's oil and gas reserves.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4877DC3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personal financial details of the CEO.</w:t>
      </w:r>
    </w:p>
    <w:p w14:paraId="58E4DB3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daily routines of rig workers.</w:t>
      </w:r>
    </w:p>
    <w:p w14:paraId="5A17CF68">
      <w:pPr>
        <w:numPr>
          <w:ilvl w:val="0"/>
          <w:numId w:val="19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The definition of "proved reserves" under different reporting frameworks (e.g., SEC rules, PRMS) can vary, impacting:</w:t>
      </w:r>
    </w:p>
    <w:p w14:paraId="7722198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The physical volume of oil and gas in the ground.</w:t>
      </w:r>
    </w:p>
    <w:p w14:paraId="116704B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The quantities reported in financial statements and reserves disclosures.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44ADDE5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market price of crude oil.</w:t>
      </w:r>
    </w:p>
    <w:p w14:paraId="77121F7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technology used for extraction.</w:t>
      </w:r>
    </w:p>
    <w:p w14:paraId="75658533">
      <w:pPr>
        <w:numPr>
          <w:ilvl w:val="0"/>
          <w:numId w:val="19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Financial control in international petroleum accounting must be robust to address the complexities of:</w:t>
      </w:r>
    </w:p>
    <w:p w14:paraId="4B7F922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Simple domestic operations.</w:t>
      </w:r>
    </w:p>
    <w:p w14:paraId="7B26D3D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Large-scale, long-term projects with significant capital investment, diverse stakeholders, and intricate contractual and regulatory environments.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496AAA8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Short-term trading activities.</w:t>
      </w:r>
    </w:p>
    <w:p w14:paraId="06C78AB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Operations in politically stable, single-currency jurisdictions.</w:t>
      </w:r>
    </w:p>
    <w:p w14:paraId="572DE614">
      <w:pPr>
        <w:spacing w:before="100" w:beforeAutospacing="1" w:after="0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Section 9: Emerging Issues in International Petroleum Accounting</w:t>
      </w:r>
    </w:p>
    <w:p w14:paraId="1CE824D0">
      <w:pPr>
        <w:numPr>
          <w:ilvl w:val="0"/>
          <w:numId w:val="20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Climate change and the energy transition are increasingly impacting petroleum accounting through:</w:t>
      </w:r>
    </w:p>
    <w:p w14:paraId="143F2AB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Increased demand for fossil fuels.</w:t>
      </w:r>
    </w:p>
    <w:p w14:paraId="7146430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Potential asset impairments, increased decommissioning liabilities, and new reporting requirements related to carbon emissions.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496C02D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Reduced regulatory scrutiny.</w:t>
      </w:r>
    </w:p>
    <w:p w14:paraId="31EC3D5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Simplified accounting for oil and gas assets.</w:t>
      </w:r>
    </w:p>
    <w:p w14:paraId="54A3EF95">
      <w:pPr>
        <w:numPr>
          <w:ilvl w:val="0"/>
          <w:numId w:val="20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Carbon capture and storage (CCS) projects may require specific accounting treatment for:</w:t>
      </w:r>
    </w:p>
    <w:p w14:paraId="3FFEA43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The color of the storage tanks.</w:t>
      </w:r>
    </w:p>
    <w:p w14:paraId="2DE1A9E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Capitalized costs, operating expenses, and potential revenue streams from carbon credits.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0CA0AFA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geological properties of storage formations.</w:t>
      </w:r>
    </w:p>
    <w:p w14:paraId="005DDA2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transportation of CO2 by pipelines.</w:t>
      </w:r>
    </w:p>
    <w:p w14:paraId="11885352">
      <w:pPr>
        <w:numPr>
          <w:ilvl w:val="0"/>
          <w:numId w:val="20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Environmental, social, and governance (ESG) reporting is becoming more important for oil and gas companies due to:</w:t>
      </w:r>
    </w:p>
    <w:p w14:paraId="2EBC4B4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Decreased investor interest in sustainability.</w:t>
      </w:r>
    </w:p>
    <w:p w14:paraId="0245D73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Growing pressure from investors, regulators, and the public for greater transparency on non-financial performance.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3354FFC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lack of standardized reporting frameworks.</w:t>
      </w:r>
    </w:p>
    <w:p w14:paraId="7A3264D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immateriality of these factors to the industry.</w:t>
      </w:r>
    </w:p>
    <w:p w14:paraId="7C2D0852">
      <w:pPr>
        <w:numPr>
          <w:ilvl w:val="0"/>
          <w:numId w:val="20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Digitalization and automation in the oil and gas industry may affect accounting processes through:</w:t>
      </w:r>
    </w:p>
    <w:p w14:paraId="0C51B3C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Increased reliance on manual data entry.</w:t>
      </w:r>
    </w:p>
    <w:p w14:paraId="1DAC528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Improved efficiency, accuracy, and real-time data availability.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433FC6F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Reduced need for skilled accounting professionals.</w:t>
      </w:r>
    </w:p>
    <w:p w14:paraId="125B9AD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Simplified data security requirements.</w:t>
      </w:r>
    </w:p>
    <w:p w14:paraId="75F7F441">
      <w:pPr>
        <w:numPr>
          <w:ilvl w:val="0"/>
          <w:numId w:val="20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The application of artificial intelligence (AI) in petroleum accounting could potentially enhance:</w:t>
      </w:r>
    </w:p>
    <w:p w14:paraId="5807638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The physical extraction of oil and gas.</w:t>
      </w:r>
    </w:p>
    <w:p w14:paraId="3FE8A8D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Fraud detection, risk assessment, and forecasting.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771FE84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drilling speed of wells.</w:t>
      </w:r>
    </w:p>
    <w:p w14:paraId="008950A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transportation of refined products.</w:t>
      </w:r>
    </w:p>
    <w:p w14:paraId="401DFE7C">
      <w:pPr>
        <w:numPr>
          <w:ilvl w:val="0"/>
          <w:numId w:val="20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Changes in international tax regulations (e.g., Pillar Two of the OECD's framework) may impact the:</w:t>
      </w:r>
    </w:p>
    <w:p w14:paraId="3D17365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Geological surveys conducted by oil companies.</w:t>
      </w:r>
    </w:p>
    <w:p w14:paraId="78235F4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Effective tax rates and tax planning strategies of multinational oil and gas companies.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6D6F54D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technical specifications of drilling rigs.</w:t>
      </w:r>
    </w:p>
    <w:p w14:paraId="2CC746E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global demand for crude oil.</w:t>
      </w:r>
    </w:p>
    <w:p w14:paraId="3CDB8A4B">
      <w:pPr>
        <w:numPr>
          <w:ilvl w:val="0"/>
          <w:numId w:val="20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The accounting for asset retirement obligations (AROs) is becoming more complex due to:</w:t>
      </w:r>
    </w:p>
    <w:p w14:paraId="54EB9B9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Decreased environmental awareness.</w:t>
      </w:r>
    </w:p>
    <w:p w14:paraId="6887896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Increasing regulatory scrutiny and the need for more detailed and forward-looking cost estimations.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432986A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Simplified decommissioning procedures.</w:t>
      </w:r>
    </w:p>
    <w:p w14:paraId="656A5F1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Reduced financial responsibility for environmental remediation.</w:t>
      </w:r>
    </w:p>
    <w:p w14:paraId="53838751">
      <w:pPr>
        <w:numPr>
          <w:ilvl w:val="0"/>
          <w:numId w:val="20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The valuation of oil and gas reserves for financial reporting purposes often involves:</w:t>
      </w:r>
    </w:p>
    <w:p w14:paraId="16C433B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Using historical costs.</w:t>
      </w:r>
    </w:p>
    <w:p w14:paraId="0BE295E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Estimating future production volumes, prices, and discount rates, which can be highly subjective and influenced by market volatility.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1C8EB67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Ignoring market fluctuations.</w:t>
      </w:r>
    </w:p>
    <w:p w14:paraId="29E4BC2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Relying solely on geological surveys.</w:t>
      </w:r>
    </w:p>
    <w:p w14:paraId="300D07FA">
      <w:pPr>
        <w:numPr>
          <w:ilvl w:val="0"/>
          <w:numId w:val="20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The accounting for unconventional resources (e.g., shale oil and gas) may have specific considerations related to:</w:t>
      </w:r>
    </w:p>
    <w:p w14:paraId="492DE5E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The color of the wellheads.</w:t>
      </w:r>
    </w:p>
    <w:p w14:paraId="1463862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The high initial investment, rapid decline rates, and the treatment of fracturing costs.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4123BAC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transportation of oil by sea.</w:t>
      </w:r>
    </w:p>
    <w:p w14:paraId="1109963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refining process.</w:t>
      </w:r>
    </w:p>
    <w:p w14:paraId="0F6C4BF9">
      <w:pPr>
        <w:spacing w:before="100" w:beforeAutospacing="1" w:after="0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Okay, let's conclude with questions 90 through 140 for your examination on </w:t>
      </w: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INTERNATIONAL PETROLEUM ACCOUNTING</w:t>
      </w: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:</w:t>
      </w:r>
    </w:p>
    <w:p w14:paraId="7ACB3A23">
      <w:pPr>
        <w:numPr>
          <w:ilvl w:val="0"/>
          <w:numId w:val="21"/>
        </w:numPr>
        <w:spacing w:before="100" w:beforeAutospacing="1" w:after="120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Staying abreast of evolving international accounting standards and industry-specific guidance is crucial for petroleum accountants to ensure: a) Maximizing personal profits. b) Accurate and compliant financial reporting in a complex and dynamic industry. </w:t>
      </w:r>
      <w:r>
        <w:rPr>
          <w:rFonts w:hint="eastAsia" w:ascii="MS Gothic" w:hAnsi="MS Gothic" w:eastAsia="MS Gothic" w:cs="MS Gothic"/>
          <w:color w:val="1B1C1D"/>
          <w:sz w:val="24"/>
          <w:szCs w:val="24"/>
        </w:rPr>
        <w:t>✓</w:t>
      </w: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 c) Minimizing disclosure requirements. d) Avoiding any interaction with regulatory bodies.</w:t>
      </w:r>
    </w:p>
    <w:p w14:paraId="33796621">
      <w:pPr>
        <w:spacing w:before="100" w:beforeAutospacing="1" w:after="0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Section 10: Case Studies and Application (Illustrative)</w:t>
      </w:r>
    </w:p>
    <w:p w14:paraId="115E9AD9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Company A acquires a license for $10 million. Under Successful Efforts, these costs are:</w:t>
      </w:r>
    </w:p>
    <w:p w14:paraId="65D1D33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Expensed immediately.</w:t>
      </w:r>
    </w:p>
    <w:p w14:paraId="41C43DA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Capitalized and amortized over the license period or reserve life.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25D4DEA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Held in suspense.</w:t>
      </w:r>
    </w:p>
    <w:p w14:paraId="4C6D37A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Written off against revenue.</w:t>
      </w:r>
    </w:p>
    <w:p w14:paraId="2331F077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Company B drills an exploratory well costing $5 million, which does not find proved reserves. Under Successful Efforts, this cost is:</w:t>
      </w:r>
    </w:p>
    <w:p w14:paraId="461D142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Capitalized.</w:t>
      </w:r>
    </w:p>
    <w:p w14:paraId="58F5DEA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Expensed as a dry hole.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77E88DB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Amortized.</w:t>
      </w:r>
    </w:p>
    <w:p w14:paraId="3CF1821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Added to the cost of other wells.</w:t>
      </w:r>
    </w:p>
    <w:p w14:paraId="27B30E4B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Company C pays a royalty of 15% of the value of its produced oil. The accounting entry would likely involve:</w:t>
      </w:r>
    </w:p>
    <w:p w14:paraId="299AA1B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Debiting an asset and crediting cash.</w:t>
      </w:r>
    </w:p>
    <w:p w14:paraId="58DC79F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Debiting royalty expense and crediting a liability or cash.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1E502A7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Debiting revenue and crediting a liability.</w:t>
      </w:r>
    </w:p>
    <w:p w14:paraId="64048E4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No accounting entry until cash is paid.</w:t>
      </w:r>
    </w:p>
    <w:p w14:paraId="35244BA9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Host Country X imposes a corporate income tax of 30% on petroleum profits. Company D's taxable profit is $100 million. The income tax expense would be:</w:t>
      </w:r>
    </w:p>
    <w:p w14:paraId="0A66E05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$0.</w:t>
      </w:r>
    </w:p>
    <w:p w14:paraId="6A8FF27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$30 million.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62FEB10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$100 million.</w:t>
      </w:r>
    </w:p>
    <w:p w14:paraId="52363F4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$70 million.</w:t>
      </w:r>
    </w:p>
    <w:p w14:paraId="18386480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Segregation of duties in a petroleum company might involve separating the functions of:</w:t>
      </w:r>
    </w:p>
    <w:p w14:paraId="5B1B78B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Geologist and geophysicist.</w:t>
      </w:r>
    </w:p>
    <w:p w14:paraId="2AF091E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b) Drilling engineer and production engineer.</w:t>
      </w:r>
    </w:p>
    <w:p w14:paraId="0E0F8F2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c) Authorization of expenditures and recording of those expenditures.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3F3CAD5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Human resources and accounting.</w:t>
      </w:r>
    </w:p>
    <w:p w14:paraId="46FB047C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 reconciliation of crude oil inventory might compare:</w:t>
      </w:r>
    </w:p>
    <w:p w14:paraId="70956E3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The salaries of different employees.</w:t>
      </w:r>
    </w:p>
    <w:p w14:paraId="165BF28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Physical tank measurements with accounting records.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7233951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cost of different drilling rigs.</w:t>
      </w:r>
    </w:p>
    <w:p w14:paraId="5AFE21C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production from different wells.</w:t>
      </w:r>
    </w:p>
    <w:p w14:paraId="5882642D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If a petroleum company prematurely abandons a production platform, the remaining carrying value and abandonment costs are accounted for as:</w:t>
      </w:r>
    </w:p>
    <w:p w14:paraId="54330E1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A reduction in future revenue.</w:t>
      </w:r>
    </w:p>
    <w:p w14:paraId="5BB8EBD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A loss in the current period and a liability for future costs.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4F13EF9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Capitalized and amortized over a shorter period.</w:t>
      </w:r>
    </w:p>
    <w:p w14:paraId="6E7E8F1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Ignored until the actual decommissioning occurs.</w:t>
      </w:r>
    </w:p>
    <w:p w14:paraId="30B00E09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In a Production Sharing Contract, if the cost recovery limit is 70% and revenue is $100 million with recoverable costs of $80 million, the amount available for profit sharing is typically based on:</w:t>
      </w:r>
    </w:p>
    <w:p w14:paraId="0833AAB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$100 million.</w:t>
      </w:r>
    </w:p>
    <w:p w14:paraId="75A0598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$30 million ($100m - $70m cost recovery).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49C29B8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$20 million ($100m - $80m costs).</w:t>
      </w:r>
    </w:p>
    <w:p w14:paraId="6F3222E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$70 million (cost recovery).</w:t>
      </w:r>
    </w:p>
    <w:p w14:paraId="1F2FC827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When accounting for a joint venture using proportionate consolidation, each venturer recognizes:</w:t>
      </w:r>
    </w:p>
    <w:p w14:paraId="476FD1E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100% of the assets, liabilities, revenues, and expenses.</w:t>
      </w:r>
    </w:p>
    <w:p w14:paraId="132200B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Their proportionate share of the assets, liabilities, revenues, and expenses.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73FD2DD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Only their direct cash contributions.</w:t>
      </w:r>
    </w:p>
    <w:p w14:paraId="4DA040D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Only the net profit or loss of the venture.</w:t>
      </w:r>
    </w:p>
    <w:p w14:paraId="216F94B0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Transfer pricing regulations aim to ensure that transactions between related parties are conducted at:</w:t>
      </w:r>
    </w:p>
    <w:p w14:paraId="35571B8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Artificially inflated prices.</w:t>
      </w:r>
    </w:p>
    <w:p w14:paraId="7E18C1D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Arm's length prices.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2DBC97B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Zero cost.</w:t>
      </w:r>
    </w:p>
    <w:p w14:paraId="59B08F8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Prices determined by tax authorities.</w:t>
      </w:r>
    </w:p>
    <w:p w14:paraId="4FC8B0CD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Increased environmental regulations might require a petroleum company to increase its:</w:t>
      </w:r>
    </w:p>
    <w:p w14:paraId="7481994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Exploration budget.</w:t>
      </w:r>
    </w:p>
    <w:p w14:paraId="5853893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Provision for asset retirement obligations.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1E847D8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Marketing expenditure.</w:t>
      </w:r>
    </w:p>
    <w:p w14:paraId="1AA3D06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Employee bonuses.</w:t>
      </w:r>
    </w:p>
    <w:p w14:paraId="032D0457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The fair value of oil and gas reserves is often estimated using:</w:t>
      </w:r>
    </w:p>
    <w:p w14:paraId="3D1AAA2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The original cost of the license.</w:t>
      </w:r>
    </w:p>
    <w:p w14:paraId="3AF5F62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Discounted future net cash flows.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7CEEC04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current market price of oil multiplied by estimated reserves.</w:t>
      </w:r>
    </w:p>
    <w:p w14:paraId="02AE7BC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book value of related assets.</w:t>
      </w:r>
    </w:p>
    <w:p w14:paraId="395FD7C1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Accounting for unconventional resources like shale gas often involves significant:</w:t>
      </w:r>
    </w:p>
    <w:p w14:paraId="37B2EA2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Costs related to deep-sea drilling.</w:t>
      </w:r>
    </w:p>
    <w:p w14:paraId="7245443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Fracturing costs that may be capitalized and amortized.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4B60DD6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Royalties paid to indigenous communities.</w:t>
      </w:r>
    </w:p>
    <w:p w14:paraId="7921E86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Transportation via large pipelines.</w:t>
      </w:r>
    </w:p>
    <w:p w14:paraId="1134F346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The primary purpose of disclosing oil and gas reserves is to provide information relevant to:</w:t>
      </w:r>
    </w:p>
    <w:p w14:paraId="54AA312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The daily operations of the company.</w:t>
      </w:r>
    </w:p>
    <w:p w14:paraId="0559D79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Investors' assessment of the company's future cash flows and asset base.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27988B3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salaries of the executive team.</w:t>
      </w:r>
    </w:p>
    <w:p w14:paraId="4C48DF1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color of the company logo.</w:t>
      </w:r>
    </w:p>
    <w:p w14:paraId="5D7ED4AA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Under IFRS, exploration and evaluation (E&amp;E) expenditures are typically:</w:t>
      </w:r>
    </w:p>
    <w:p w14:paraId="17698DF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Always expensed.</w:t>
      </w:r>
    </w:p>
    <w:p w14:paraId="454E5E3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Capitalized if they meet specific criteria and are subject to impairment testing.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6361D0D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Deferred and amortized over a fixed period.</w:t>
      </w:r>
    </w:p>
    <w:p w14:paraId="0F831E1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Written off against revenue.</w:t>
      </w:r>
    </w:p>
    <w:p w14:paraId="2E60876D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The choice between Successful Efforts and Full Cost accounting can significantly impact:</w:t>
      </w:r>
    </w:p>
    <w:p w14:paraId="22295AB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The physical production of oil and gas.</w:t>
      </w:r>
    </w:p>
    <w:p w14:paraId="54020F4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The timing of expense recognition and reported earnings.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5B1BF3D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geological interpretation of seismic data.</w:t>
      </w:r>
    </w:p>
    <w:p w14:paraId="5BFF5F6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safety procedures on drilling rigs.</w:t>
      </w:r>
    </w:p>
    <w:p w14:paraId="787086C5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Financial controls over capital expenditures in the oil and gas industry are crucial due to the:</w:t>
      </w:r>
    </w:p>
    <w:p w14:paraId="6DBDB05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Small amounts typically involved.</w:t>
      </w:r>
    </w:p>
    <w:p w14:paraId="621CEA0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Large and often irreversible nature of these investments.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4AB94ED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Predictable success of all projects.</w:t>
      </w:r>
    </w:p>
    <w:p w14:paraId="4AEFF2C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Lack of regulatory oversight.</w:t>
      </w:r>
    </w:p>
    <w:p w14:paraId="57E18D49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Hedging activities are sometimes used in the oil and gas industry to manage:</w:t>
      </w:r>
    </w:p>
    <w:p w14:paraId="257610F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Employee morale.</w:t>
      </w:r>
    </w:p>
    <w:p w14:paraId="70AA357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Price volatility of crude oil and natural gas.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75F8F4B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Drilling risks.</w:t>
      </w:r>
    </w:p>
    <w:p w14:paraId="1BF5414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Political instability.</w:t>
      </w:r>
    </w:p>
    <w:p w14:paraId="6268551A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The accounting for decommissioning trust funds typically involves:</w:t>
      </w:r>
    </w:p>
    <w:p w14:paraId="6653E54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a) Recognizing the assets and related income separately.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0DE5CD4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b) Offsetting the trust assets against the decommissioning liability.</w:t>
      </w:r>
    </w:p>
    <w:p w14:paraId="1AEE25C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Expensing contributions immediately.</w:t>
      </w:r>
    </w:p>
    <w:p w14:paraId="2560B65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Ignoring the existence of the fund.</w:t>
      </w:r>
    </w:p>
    <w:p w14:paraId="001C22F6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International tax treaties can affect the taxation of petroleum operations by:</w:t>
      </w:r>
    </w:p>
    <w:p w14:paraId="7EE75F2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Eliminating all taxes.</w:t>
      </w:r>
    </w:p>
    <w:p w14:paraId="4C60DFC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Providing rules for the avoidance of double taxation.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6E02E77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Increasing tax rates for all companies.</w:t>
      </w:r>
    </w:p>
    <w:p w14:paraId="17E7279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Applying uniform tax laws globally.</w:t>
      </w:r>
    </w:p>
    <w:p w14:paraId="75C25F83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The concept of materiality in petroleum accounting means that:</w:t>
      </w:r>
    </w:p>
    <w:p w14:paraId="17C7B46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Only large oil fields are relevant.</w:t>
      </w:r>
    </w:p>
    <w:p w14:paraId="54C06DD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The significance of an item should be judged in the context of the financial statements as a whole, considering the large amounts often involved.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033AF07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All geological data must be disclosed.</w:t>
      </w:r>
    </w:p>
    <w:p w14:paraId="0EFCC89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Only cash transactions are important.</w:t>
      </w:r>
    </w:p>
    <w:p w14:paraId="75595380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Related party transactions in the oil and gas industry (e.g., sales between subsidiaries) require disclosure to ensure:</w:t>
      </w:r>
    </w:p>
    <w:p w14:paraId="68164A2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They are always at market prices.</w:t>
      </w:r>
    </w:p>
    <w:p w14:paraId="54E2CE8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Users can understand their nature and potential impact on the financial statements.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7699219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They are prohibited.</w:t>
      </w:r>
    </w:p>
    <w:p w14:paraId="70F5BD9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They are tax-exempt.</w:t>
      </w:r>
    </w:p>
    <w:p w14:paraId="5CD14CEE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Contingent liabilities in petroleum accounting might arise from:</w:t>
      </w:r>
    </w:p>
    <w:p w14:paraId="7C96AAA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Certain and measurable decommissioning costs.</w:t>
      </w:r>
    </w:p>
    <w:p w14:paraId="3D1A2AD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Potential environmental damage claims or legal disputes.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637EE0D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Routine operating expenses.</w:t>
      </w:r>
    </w:p>
    <w:p w14:paraId="6B187FF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Confirmed tax liabilities.</w:t>
      </w:r>
    </w:p>
    <w:p w14:paraId="3967E987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Provisions for environmental restoration are recognized when:</w:t>
      </w:r>
    </w:p>
    <w:p w14:paraId="1F6EED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The company plans to undertake the restoration in the future.</w:t>
      </w:r>
    </w:p>
    <w:p w14:paraId="29B711B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A present obligation exists as a result of a past event, it is probable that an outflow of resources will be required, and a reliable estimate can be made.1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2116F63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environmental damage is fully remediated.</w:t>
      </w:r>
    </w:p>
    <w:p w14:paraId="650F80A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government mandates the restoration.</w:t>
      </w:r>
    </w:p>
    <w:p w14:paraId="6FF12F9C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The going concern assumption in the context of a petroleum company might be challenged by:</w:t>
      </w:r>
    </w:p>
    <w:p w14:paraId="246CA1F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High oil prices.</w:t>
      </w:r>
    </w:p>
    <w:p w14:paraId="7D7A9D6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Significant and unresolved environmental liabilities or the depletion of reserves without new discoveries.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34CD19C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Stable production levels.</w:t>
      </w:r>
    </w:p>
    <w:p w14:paraId="0C7F13A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Strong financial performance.</w:t>
      </w:r>
    </w:p>
    <w:p w14:paraId="33F2CAA4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Revenue recognition in the oil and gas industry typically occurs when:</w:t>
      </w:r>
    </w:p>
    <w:p w14:paraId="0E733AD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The oil is extracted from the ground.</w:t>
      </w:r>
    </w:p>
    <w:p w14:paraId="70964F1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Control of the oil or gas is transferred to the customer.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56C592A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exploration license is acquired.</w:t>
      </w:r>
    </w:p>
    <w:p w14:paraId="6B059D6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Payment is received, regardless of delivery.</w:t>
      </w:r>
    </w:p>
    <w:p w14:paraId="1D5EE0CB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The matching principle requires that the costs of lifting oil and gas from the ground are expensed:</w:t>
      </w:r>
    </w:p>
    <w:p w14:paraId="43E3974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When the well is drilled.</w:t>
      </w:r>
    </w:p>
    <w:p w14:paraId="2D9ADDB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In the same period as the revenue generated from the sale of that oil and gas.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25CEAB2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When the employees involved are paid.</w:t>
      </w:r>
    </w:p>
    <w:p w14:paraId="7ECD915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Over the life of the well.</w:t>
      </w:r>
    </w:p>
    <w:p w14:paraId="0209AF1C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Subsequent events after the reporting period for a petroleum company might include:</w:t>
      </w:r>
    </w:p>
    <w:p w14:paraId="67DB9DF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Changes in weather patterns.</w:t>
      </w:r>
    </w:p>
    <w:p w14:paraId="58FF5A1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Significant discoveries of new reserves or major changes in oil prices.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68A2133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Routine maintenance activities.</w:t>
      </w:r>
    </w:p>
    <w:p w14:paraId="5A72B5D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Employee promotions.</w:t>
      </w:r>
    </w:p>
    <w:p w14:paraId="1563F435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Notes to the financial statements of a petroleum company would typically disclose information about:</w:t>
      </w:r>
    </w:p>
    <w:p w14:paraId="3F8288E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The personal hobbies of the directors.</w:t>
      </w:r>
    </w:p>
    <w:p w14:paraId="6EF0D25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Accounting policies, key assumptions, and details of reserves and contingent liabilities.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241CA7F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daily production targets for each well.</w:t>
      </w:r>
    </w:p>
    <w:p w14:paraId="7E7E973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names of all suppliers.</w:t>
      </w:r>
    </w:p>
    <w:p w14:paraId="0D44DC8C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Effective financial control in the oil and gas industry contributes to:</w:t>
      </w:r>
    </w:p>
    <w:p w14:paraId="19BA773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Increased environmental risks.</w:t>
      </w:r>
    </w:p>
    <w:p w14:paraId="62CE768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Sound decision-making, efficient operations, and reliable financial reporting.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382228C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Higher levels of corruption.</w:t>
      </w:r>
    </w:p>
    <w:p w14:paraId="07883AA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Reduced transparency.</w:t>
      </w:r>
    </w:p>
    <w:p w14:paraId="00D73E6A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When a petroleum license is expected to expire without renewal and no proved reserves were found, any remaining capitalized acquisition costs should be:</w:t>
      </w:r>
    </w:p>
    <w:p w14:paraId="12BACA7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Transferred to another license.</w:t>
      </w:r>
    </w:p>
    <w:p w14:paraId="2E22B0C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Written off as an expense.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0AA4BD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Amortized over a longer period.</w:t>
      </w:r>
    </w:p>
    <w:p w14:paraId="5136F63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Retained as an asset.</w:t>
      </w:r>
    </w:p>
    <w:p w14:paraId="2947D86C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Costs incurred to enhance oil recovery (EOR) are generally:</w:t>
      </w:r>
    </w:p>
    <w:p w14:paraId="79172B8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Expensed immediately.</w:t>
      </w:r>
    </w:p>
    <w:p w14:paraId="1099A53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Capitalized if they are expected to increase future production.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37CC846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Deferred and amortized over a short period.</w:t>
      </w:r>
    </w:p>
    <w:p w14:paraId="1A944BF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Written off against current revenue.</w:t>
      </w:r>
    </w:p>
    <w:p w14:paraId="6F84F6BA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 key risk in the oil and gas industry that financial controls need to address is the:</w:t>
      </w:r>
    </w:p>
    <w:p w14:paraId="697B6C9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Predictable nature of commodity prices.</w:t>
      </w:r>
    </w:p>
    <w:p w14:paraId="5353D56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High potential for fraud and misstatement due to the large sums of money involved.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750627B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Simplicity of operational processes.</w:t>
      </w:r>
    </w:p>
    <w:p w14:paraId="3688C0B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Lack of regulatory oversight.</w:t>
      </w:r>
    </w:p>
    <w:p w14:paraId="24910B24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The successful efforts method is often favored by:</w:t>
      </w:r>
    </w:p>
    <w:p w14:paraId="11E2472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a) Companies with stable and predictable exploration success.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3724A00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b) Companies that want to smooth earnings.</w:t>
      </w:r>
    </w:p>
    <w:p w14:paraId="1117A78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Companies with high levels of exploration activity and low success rates.</w:t>
      </w:r>
    </w:p>
    <w:p w14:paraId="1CA8308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Regulatory bodies requiring full capitalization of all costs.</w:t>
      </w:r>
    </w:p>
    <w:p w14:paraId="4F8A1A32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The full cost method allows for the capitalization of:</w:t>
      </w:r>
    </w:p>
    <w:p w14:paraId="6190AAB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Only successful exploration costs.</w:t>
      </w:r>
    </w:p>
    <w:p w14:paraId="1404210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All exploration and development costs within a cost center, regardless of success.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646D6EE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Only tangible asset costs.</w:t>
      </w:r>
    </w:p>
    <w:p w14:paraId="6308C7B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Only costs related to proved reserves.</w:t>
      </w:r>
    </w:p>
    <w:p w14:paraId="11085001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The definition and reporting of proved reserves are crucial because they directly impact the:</w:t>
      </w:r>
    </w:p>
    <w:p w14:paraId="07F6332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Number of employees a company hires.</w:t>
      </w:r>
    </w:p>
    <w:p w14:paraId="5C80DC5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Calculation of depletion and amortization, as well as investor valuation.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7663DF3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color of the company's annual report.</w:t>
      </w:r>
    </w:p>
    <w:p w14:paraId="2E7B23B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daily operational decisions of engineers.</w:t>
      </w:r>
    </w:p>
    <w:p w14:paraId="2A7402B4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Financial control over joint venture operations requires clear agreements on:</w:t>
      </w:r>
    </w:p>
    <w:p w14:paraId="05815B9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The personal relationships between partners.</w:t>
      </w:r>
    </w:p>
    <w:p w14:paraId="15EB1D6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Accounting policies, cost sharing, and audit procedures.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76B9927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geological expertise of each partner.</w:t>
      </w:r>
    </w:p>
    <w:p w14:paraId="19A148A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brand names used by each partner.</w:t>
      </w:r>
    </w:p>
    <w:p w14:paraId="46774407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Tax deductibility of exploration and development costs can vary significantly between:</w:t>
      </w:r>
    </w:p>
    <w:p w14:paraId="5745F77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Different employees within the same company.</w:t>
      </w:r>
    </w:p>
    <w:p w14:paraId="5F2BFE4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Different host countries and fiscal regimes.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635469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Different types of office equipment.</w:t>
      </w:r>
    </w:p>
    <w:p w14:paraId="33622F2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Different accounting methods used by the same company.</w:t>
      </w:r>
    </w:p>
    <w:p w14:paraId="4F284195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The accounting for decommissioning liabilities involves estimating the:</w:t>
      </w:r>
    </w:p>
    <w:p w14:paraId="587884C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Historical cost of the assets being decommissioned.</w:t>
      </w:r>
    </w:p>
    <w:p w14:paraId="7C94800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Present value of the future costs expected to be incurred.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075A8E0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Original purchase price of the land.</w:t>
      </w:r>
    </w:p>
    <w:p w14:paraId="3B830AC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Inflation rate over the past decade.</w:t>
      </w:r>
    </w:p>
    <w:p w14:paraId="289E07C4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International Financial Reporting Standards (IFRS) provide a framework for the accounting of oil and gas activities in:</w:t>
      </w:r>
    </w:p>
    <w:p w14:paraId="283E790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IAS 41 (Agriculture).</w:t>
      </w:r>
    </w:p>
    <w:p w14:paraId="6B28BA0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IFRS 6 (Exploration for and Evaluation of Mineral Resources).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333C46C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IAS 16 (Property, Plant and Equipment).</w:t>
      </w:r>
    </w:p>
    <w:p w14:paraId="4CA5767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IFRS 15 (Revenue from Contracts with Customers).</w:t>
      </w:r>
    </w:p>
    <w:p w14:paraId="370B3F6F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The Securities and Exchange Commission (SEC) in the United States has specific rules for:</w:t>
      </w:r>
    </w:p>
    <w:p w14:paraId="03B6FAB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The geological surveying process.</w:t>
      </w:r>
    </w:p>
    <w:p w14:paraId="43DAB64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The reporting of oil and gas reserves.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3B05068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design of drilling equipment.</w:t>
      </w:r>
    </w:p>
    <w:p w14:paraId="1D06D37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pricing of crude oil exports.</w:t>
      </w:r>
    </w:p>
    <w:p w14:paraId="731C369B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Financial control activities should be:</w:t>
      </w:r>
    </w:p>
    <w:p w14:paraId="3FA3D34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Static and never change.</w:t>
      </w:r>
    </w:p>
    <w:p w14:paraId="0A81A28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Dynamic and adapt to changes in the business environment and risks.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7FD34E1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sole responsibility of external auditors.</w:t>
      </w:r>
    </w:p>
    <w:p w14:paraId="3EEA648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Kept secret from employees.</w:t>
      </w:r>
    </w:p>
    <w:p w14:paraId="3696AF68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Effective internal audits in the oil and gas industry can help to identify:</w:t>
      </w:r>
    </w:p>
    <w:p w14:paraId="14B95CF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New oil and gas reserves.</w:t>
      </w:r>
    </w:p>
    <w:p w14:paraId="4F03162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Weaknesses in internal controls and opportunities for improvement.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60F3132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optimal drilling locations.</w:t>
      </w:r>
    </w:p>
    <w:p w14:paraId="4804255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best marketing strategies.</w:t>
      </w:r>
    </w:p>
    <w:p w14:paraId="124E8812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Transparency in financial reporting by international petroleum companies is crucial for building trust with:</w:t>
      </w:r>
    </w:p>
    <w:p w14:paraId="611975A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Only the company's management.</w:t>
      </w:r>
    </w:p>
    <w:p w14:paraId="03CAAEC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Investors, host governments, and the public.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23CEF98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Only the company's competitors.</w:t>
      </w:r>
    </w:p>
    <w:p w14:paraId="1549FC6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Only the company's employees.</w:t>
      </w:r>
    </w:p>
    <w:p w14:paraId="5F163131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The energy transition may lead to:</w:t>
      </w:r>
    </w:p>
    <w:p w14:paraId="6BBCCCF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Increased long-term demand for all fossil fuels.</w:t>
      </w:r>
    </w:p>
    <w:p w14:paraId="732D221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Potential impairment of oil and gas assets as demand shifts towards renewable energy sources.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5337947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Reduced volatility in oil prices.</w:t>
      </w:r>
    </w:p>
    <w:p w14:paraId="483FD0F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A decrease in decommissioning liabilities.</w:t>
      </w:r>
    </w:p>
    <w:p w14:paraId="5310EA18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Accounting for carbon credits generated from CCS projects might involve recognizing them as:</w:t>
      </w:r>
    </w:p>
    <w:p w14:paraId="6D53C69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An expense.</w:t>
      </w:r>
    </w:p>
    <w:p w14:paraId="227E4C7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Revenue or a reduction of related expenses.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3395344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A liability.</w:t>
      </w:r>
    </w:p>
    <w:p w14:paraId="2C0B390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Part of equity.</w:t>
      </w:r>
    </w:p>
    <w:p w14:paraId="7F10E76F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ESG reporting by oil and gas companies typically covers areas such as:</w:t>
      </w:r>
    </w:p>
    <w:p w14:paraId="797F63E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The CEO's personal investment portfolio.</w:t>
      </w:r>
    </w:p>
    <w:p w14:paraId="5992E3C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Greenhouse gas emissions, safety records, and community engagement.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5375EB1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The detailed geological structure of oil reservoirs.</w:t>
      </w:r>
    </w:p>
    <w:p w14:paraId="01DB6BB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The brand names of all petroleum products.</w:t>
      </w:r>
    </w:p>
    <w:p w14:paraId="0900C2BD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Digitalization can enhance financial control in the oil and gas industry by:</w:t>
      </w:r>
    </w:p>
    <w:p w14:paraId="5054A4C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Increasing the risk of cyber fraud.</w:t>
      </w:r>
    </w:p>
    <w:p w14:paraId="520F783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Automating processes and improving data analytics capabilities.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2B06273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Eliminating the need for human oversight.</w:t>
      </w:r>
    </w:p>
    <w:p w14:paraId="6944F03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Making data less accessible.</w:t>
      </w:r>
    </w:p>
    <w:p w14:paraId="0D744B15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International petroleum accounting requires a strong understanding of:</w:t>
      </w:r>
    </w:p>
    <w:p w14:paraId="7E85850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Only basic bookkeeping principles.</w:t>
      </w:r>
    </w:p>
    <w:p w14:paraId="1C4ABFE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Complex accounting standards, industry-specific practices, and the unique contractual and regulatory environment of the oil and gas sector.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4DA5BCE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Only the technical aspects of petroleum engineering.</w:t>
      </w:r>
    </w:p>
    <w:p w14:paraId="15CA426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Only the political history of host countries.</w:t>
      </w:r>
    </w:p>
    <w:p w14:paraId="48E6C8EE">
      <w:pPr>
        <w:numPr>
          <w:ilvl w:val="0"/>
          <w:numId w:val="22"/>
        </w:numPr>
        <w:spacing w:before="100" w:beforeAutospacing="1" w:after="100" w:afterAutospacing="1" w:line="240" w:lineRule="auto"/>
        <w:ind w:left="0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The ultimate goal of sound international petroleum accounting and financial control is to provide:</w:t>
      </w:r>
    </w:p>
    <w:p w14:paraId="6873688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a) A misleading picture of the company's financial health.</w:t>
      </w:r>
    </w:p>
    <w:p w14:paraId="316A905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 xml:space="preserve">b) Reliable and relevant information for decision-making by stakeholders and to ensure the efficient and responsible management of resources. </w:t>
      </w:r>
      <w:r>
        <w:rPr>
          <w:rFonts w:ascii="MS Gothic" w:hAnsi="MS Gothic" w:eastAsia="MS Gothic" w:cs="MS Gothic"/>
          <w:color w:val="1B1C1D"/>
          <w:sz w:val="24"/>
          <w:szCs w:val="24"/>
        </w:rPr>
        <w:t>✓</w:t>
      </w:r>
    </w:p>
    <w:p w14:paraId="2452339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c) A simplified view of complex operations.</w:t>
      </w:r>
    </w:p>
    <w:p w14:paraId="10FBEE1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B1C1D"/>
          <w:sz w:val="24"/>
          <w:szCs w:val="24"/>
        </w:rPr>
      </w:pPr>
      <w:r>
        <w:rPr>
          <w:rFonts w:ascii="Times New Roman" w:hAnsi="Times New Roman" w:eastAsia="Times New Roman" w:cs="Times New Roman"/>
          <w:color w:val="1B1C1D"/>
          <w:sz w:val="24"/>
          <w:szCs w:val="24"/>
        </w:rPr>
        <w:t>d) Information only for internal management.</w:t>
      </w:r>
    </w:p>
    <w:p w14:paraId="31384E6B">
      <w:pPr>
        <w:pStyle w:val="34"/>
        <w:rPr>
          <w:color w:val="1B1C1D"/>
        </w:rPr>
      </w:pPr>
    </w:p>
    <w:p w14:paraId="76476640">
      <w:pPr>
        <w:rPr>
          <w:b/>
        </w:rPr>
      </w:pPr>
      <w:r>
        <w:rPr>
          <w:b/>
        </w:rPr>
        <w:t>THEORY QUESTIONS</w:t>
      </w:r>
    </w:p>
    <w:p w14:paraId="5D6AEB6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Symbol" w:eastAsia="Times New Roman" w:cs="Times New Roman"/>
          <w:sz w:val="24"/>
          <w:szCs w:val="24"/>
        </w:rPr>
        <w:t>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Discuss the unique characteristics of upstream petroleum operations that necessitate specialized accounting practices. How do the exploration, development, and production phases present distinct accounting challenges? </w:t>
      </w:r>
    </w:p>
    <w:p w14:paraId="23B2F44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003EBA3">
      <w:pPr>
        <w:spacing w:after="0" w:line="240" w:lineRule="auto"/>
        <w:rPr>
          <w:b/>
        </w:rPr>
      </w:pPr>
      <w:bookmarkStart w:id="0" w:name="_GoBack"/>
      <w:r>
        <w:rPr>
          <w:rFonts w:ascii="Times New Roman" w:hAnsi="Symbol" w:eastAsia="Times New Roman" w:cs="Times New Roman"/>
          <w:sz w:val="24"/>
          <w:szCs w:val="24"/>
        </w:rPr>
        <w:t>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Compare and contrast concession agreements and production sharing contracts (PSCs). How do these different contractual frameworks impact the accounting for revenue, costs, and the determination of the host government's take?</w:t>
      </w:r>
    </w:p>
    <w:bookmarkEnd w:id="0"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2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1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6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5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3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06896CDD"/>
    <w:multiLevelType w:val="multilevel"/>
    <w:tmpl w:val="06896CDD"/>
    <w:lvl w:ilvl="0" w:tentative="0">
      <w:start w:val="9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1AD34B79"/>
    <w:multiLevelType w:val="multilevel"/>
    <w:tmpl w:val="1AD34B79"/>
    <w:lvl w:ilvl="0" w:tentative="0">
      <w:start w:val="1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23534EC9"/>
    <w:multiLevelType w:val="multilevel"/>
    <w:tmpl w:val="23534EC9"/>
    <w:lvl w:ilvl="0" w:tentative="0">
      <w:start w:val="5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2EB87E0F"/>
    <w:multiLevelType w:val="multilevel"/>
    <w:tmpl w:val="2EB87E0F"/>
    <w:lvl w:ilvl="0" w:tentative="0">
      <w:start w:val="8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>
    <w:nsid w:val="33515976"/>
    <w:multiLevelType w:val="multilevel"/>
    <w:tmpl w:val="3351597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>
    <w:nsid w:val="3F6006DF"/>
    <w:multiLevelType w:val="multilevel"/>
    <w:tmpl w:val="3F6006DF"/>
    <w:lvl w:ilvl="0" w:tentative="0">
      <w:start w:val="6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>
    <w:nsid w:val="3FE165FC"/>
    <w:multiLevelType w:val="multilevel"/>
    <w:tmpl w:val="3FE165FC"/>
    <w:lvl w:ilvl="0" w:tentative="0">
      <w:start w:val="4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>
    <w:nsid w:val="42E6327E"/>
    <w:multiLevelType w:val="multilevel"/>
    <w:tmpl w:val="42E6327E"/>
    <w:lvl w:ilvl="0" w:tentative="0">
      <w:start w:val="3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>
    <w:nsid w:val="439E49C4"/>
    <w:multiLevelType w:val="multilevel"/>
    <w:tmpl w:val="439E49C4"/>
    <w:lvl w:ilvl="0" w:tentative="0">
      <w:start w:val="3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">
    <w:nsid w:val="466E1FF4"/>
    <w:multiLevelType w:val="multilevel"/>
    <w:tmpl w:val="466E1FF4"/>
    <w:lvl w:ilvl="0" w:tentative="0">
      <w:start w:val="4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>
    <w:nsid w:val="469045F9"/>
    <w:multiLevelType w:val="multilevel"/>
    <w:tmpl w:val="469045F9"/>
    <w:lvl w:ilvl="0" w:tentative="0">
      <w:start w:val="30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">
    <w:nsid w:val="481464C9"/>
    <w:multiLevelType w:val="multilevel"/>
    <w:tmpl w:val="481464C9"/>
    <w:lvl w:ilvl="0" w:tentative="0">
      <w:start w:val="2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8">
    <w:nsid w:val="4DB30A24"/>
    <w:multiLevelType w:val="multilevel"/>
    <w:tmpl w:val="4DB30A24"/>
    <w:lvl w:ilvl="0" w:tentative="0">
      <w:start w:val="90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9">
    <w:nsid w:val="58672D36"/>
    <w:multiLevelType w:val="multilevel"/>
    <w:tmpl w:val="58672D36"/>
    <w:lvl w:ilvl="0" w:tentative="0">
      <w:start w:val="6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0">
    <w:nsid w:val="6C59580C"/>
    <w:multiLevelType w:val="multilevel"/>
    <w:tmpl w:val="6C59580C"/>
    <w:lvl w:ilvl="0" w:tentative="0">
      <w:start w:val="5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1">
    <w:nsid w:val="7C3664E2"/>
    <w:multiLevelType w:val="multilevel"/>
    <w:tmpl w:val="7C3664E2"/>
    <w:lvl w:ilvl="0" w:tentative="0">
      <w:start w:val="7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10"/>
  </w:num>
  <w:num w:numId="8">
    <w:abstractNumId w:val="7"/>
  </w:num>
  <w:num w:numId="9">
    <w:abstractNumId w:val="17"/>
  </w:num>
  <w:num w:numId="10">
    <w:abstractNumId w:val="13"/>
  </w:num>
  <w:num w:numId="11">
    <w:abstractNumId w:val="15"/>
  </w:num>
  <w:num w:numId="12">
    <w:abstractNumId w:val="8"/>
  </w:num>
  <w:num w:numId="13">
    <w:abstractNumId w:val="19"/>
  </w:num>
  <w:num w:numId="14">
    <w:abstractNumId w:val="16"/>
  </w:num>
  <w:num w:numId="15">
    <w:abstractNumId w:val="14"/>
  </w:num>
  <w:num w:numId="16">
    <w:abstractNumId w:val="12"/>
  </w:num>
  <w:num w:numId="17">
    <w:abstractNumId w:val="20"/>
  </w:num>
  <w:num w:numId="18">
    <w:abstractNumId w:val="11"/>
  </w:num>
  <w:num w:numId="19">
    <w:abstractNumId w:val="21"/>
  </w:num>
  <w:num w:numId="20">
    <w:abstractNumId w:val="9"/>
  </w:num>
  <w:num w:numId="21">
    <w:abstractNumId w:val="18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1D05"/>
    <w:rsid w:val="00007356"/>
    <w:rsid w:val="00017981"/>
    <w:rsid w:val="000312FC"/>
    <w:rsid w:val="00034616"/>
    <w:rsid w:val="0006063C"/>
    <w:rsid w:val="00066A04"/>
    <w:rsid w:val="0007087C"/>
    <w:rsid w:val="00071F53"/>
    <w:rsid w:val="0007393F"/>
    <w:rsid w:val="000968D4"/>
    <w:rsid w:val="000A3727"/>
    <w:rsid w:val="000C4205"/>
    <w:rsid w:val="000D0B41"/>
    <w:rsid w:val="001062C5"/>
    <w:rsid w:val="00112417"/>
    <w:rsid w:val="001228A1"/>
    <w:rsid w:val="0015074B"/>
    <w:rsid w:val="00151656"/>
    <w:rsid w:val="001732A1"/>
    <w:rsid w:val="00175965"/>
    <w:rsid w:val="00180384"/>
    <w:rsid w:val="001805AE"/>
    <w:rsid w:val="00182CAF"/>
    <w:rsid w:val="00196782"/>
    <w:rsid w:val="001A56FE"/>
    <w:rsid w:val="001C31BE"/>
    <w:rsid w:val="001D5948"/>
    <w:rsid w:val="001E1538"/>
    <w:rsid w:val="001E2928"/>
    <w:rsid w:val="001F5532"/>
    <w:rsid w:val="002141CB"/>
    <w:rsid w:val="00222913"/>
    <w:rsid w:val="0023177E"/>
    <w:rsid w:val="00251CDD"/>
    <w:rsid w:val="002561E4"/>
    <w:rsid w:val="002631C6"/>
    <w:rsid w:val="00267F3F"/>
    <w:rsid w:val="002813C8"/>
    <w:rsid w:val="0029639D"/>
    <w:rsid w:val="0029715B"/>
    <w:rsid w:val="002A442A"/>
    <w:rsid w:val="002C5A92"/>
    <w:rsid w:val="002D4566"/>
    <w:rsid w:val="002E0E8E"/>
    <w:rsid w:val="002F6977"/>
    <w:rsid w:val="0032213A"/>
    <w:rsid w:val="00326F90"/>
    <w:rsid w:val="00327510"/>
    <w:rsid w:val="003303CA"/>
    <w:rsid w:val="00342AA3"/>
    <w:rsid w:val="003440F2"/>
    <w:rsid w:val="00345DFC"/>
    <w:rsid w:val="00373F09"/>
    <w:rsid w:val="00375F2F"/>
    <w:rsid w:val="003A40EB"/>
    <w:rsid w:val="003D2154"/>
    <w:rsid w:val="003E16A8"/>
    <w:rsid w:val="003E16F3"/>
    <w:rsid w:val="003E6B68"/>
    <w:rsid w:val="00412C9D"/>
    <w:rsid w:val="00413110"/>
    <w:rsid w:val="00415C6B"/>
    <w:rsid w:val="004229E7"/>
    <w:rsid w:val="0043407D"/>
    <w:rsid w:val="00445E25"/>
    <w:rsid w:val="00462945"/>
    <w:rsid w:val="00472CC0"/>
    <w:rsid w:val="00476590"/>
    <w:rsid w:val="004906BC"/>
    <w:rsid w:val="004A0D2C"/>
    <w:rsid w:val="004A21D0"/>
    <w:rsid w:val="004A3913"/>
    <w:rsid w:val="004B59E7"/>
    <w:rsid w:val="004D1684"/>
    <w:rsid w:val="004F018A"/>
    <w:rsid w:val="004F05B3"/>
    <w:rsid w:val="00510F25"/>
    <w:rsid w:val="00516212"/>
    <w:rsid w:val="00544E1D"/>
    <w:rsid w:val="005578D6"/>
    <w:rsid w:val="00577A83"/>
    <w:rsid w:val="00580F08"/>
    <w:rsid w:val="00582261"/>
    <w:rsid w:val="005973F7"/>
    <w:rsid w:val="00597727"/>
    <w:rsid w:val="005A6829"/>
    <w:rsid w:val="005C3E6C"/>
    <w:rsid w:val="005C7F1D"/>
    <w:rsid w:val="005D01FF"/>
    <w:rsid w:val="005D1863"/>
    <w:rsid w:val="005D18B4"/>
    <w:rsid w:val="005F7403"/>
    <w:rsid w:val="0063581E"/>
    <w:rsid w:val="0065386B"/>
    <w:rsid w:val="0068064B"/>
    <w:rsid w:val="006863F1"/>
    <w:rsid w:val="00693CF4"/>
    <w:rsid w:val="006C13C1"/>
    <w:rsid w:val="006C30FB"/>
    <w:rsid w:val="006D0B22"/>
    <w:rsid w:val="006D2DA4"/>
    <w:rsid w:val="0072067B"/>
    <w:rsid w:val="00733F7F"/>
    <w:rsid w:val="00740B3F"/>
    <w:rsid w:val="00754F3D"/>
    <w:rsid w:val="00771F78"/>
    <w:rsid w:val="0077314F"/>
    <w:rsid w:val="00797A14"/>
    <w:rsid w:val="007A5B60"/>
    <w:rsid w:val="007A6E97"/>
    <w:rsid w:val="007E289C"/>
    <w:rsid w:val="008159F2"/>
    <w:rsid w:val="008215BF"/>
    <w:rsid w:val="008255F7"/>
    <w:rsid w:val="0083222B"/>
    <w:rsid w:val="008415A9"/>
    <w:rsid w:val="0084343D"/>
    <w:rsid w:val="00853097"/>
    <w:rsid w:val="00861613"/>
    <w:rsid w:val="008647EC"/>
    <w:rsid w:val="00865457"/>
    <w:rsid w:val="008726A8"/>
    <w:rsid w:val="008853A8"/>
    <w:rsid w:val="00887C83"/>
    <w:rsid w:val="00887FD9"/>
    <w:rsid w:val="00896D47"/>
    <w:rsid w:val="00897959"/>
    <w:rsid w:val="008A78F4"/>
    <w:rsid w:val="008C238A"/>
    <w:rsid w:val="008C55C7"/>
    <w:rsid w:val="008E75DB"/>
    <w:rsid w:val="008E7C22"/>
    <w:rsid w:val="009023C1"/>
    <w:rsid w:val="00922F8A"/>
    <w:rsid w:val="00933988"/>
    <w:rsid w:val="00946190"/>
    <w:rsid w:val="00947EA9"/>
    <w:rsid w:val="009600CE"/>
    <w:rsid w:val="00977C3C"/>
    <w:rsid w:val="0098108C"/>
    <w:rsid w:val="00992884"/>
    <w:rsid w:val="00993D0F"/>
    <w:rsid w:val="00995EF4"/>
    <w:rsid w:val="009A0888"/>
    <w:rsid w:val="009B7583"/>
    <w:rsid w:val="009C1F0F"/>
    <w:rsid w:val="009C4B0F"/>
    <w:rsid w:val="009D2940"/>
    <w:rsid w:val="009F25DE"/>
    <w:rsid w:val="00A00042"/>
    <w:rsid w:val="00A05F2C"/>
    <w:rsid w:val="00A06C03"/>
    <w:rsid w:val="00A107FA"/>
    <w:rsid w:val="00A13CC2"/>
    <w:rsid w:val="00A32CB4"/>
    <w:rsid w:val="00A45302"/>
    <w:rsid w:val="00A87722"/>
    <w:rsid w:val="00AA1D8D"/>
    <w:rsid w:val="00AA7E04"/>
    <w:rsid w:val="00AB2647"/>
    <w:rsid w:val="00AB4BDF"/>
    <w:rsid w:val="00AD052A"/>
    <w:rsid w:val="00AD4072"/>
    <w:rsid w:val="00AE354B"/>
    <w:rsid w:val="00AF482C"/>
    <w:rsid w:val="00B47730"/>
    <w:rsid w:val="00B5152E"/>
    <w:rsid w:val="00B532D2"/>
    <w:rsid w:val="00B5620B"/>
    <w:rsid w:val="00B5710F"/>
    <w:rsid w:val="00B705CD"/>
    <w:rsid w:val="00B94015"/>
    <w:rsid w:val="00BA022B"/>
    <w:rsid w:val="00BA56A2"/>
    <w:rsid w:val="00BB25CC"/>
    <w:rsid w:val="00BC2198"/>
    <w:rsid w:val="00BF6201"/>
    <w:rsid w:val="00C00D66"/>
    <w:rsid w:val="00C156DA"/>
    <w:rsid w:val="00C15816"/>
    <w:rsid w:val="00C3350C"/>
    <w:rsid w:val="00C55EA2"/>
    <w:rsid w:val="00C745C5"/>
    <w:rsid w:val="00C87CBA"/>
    <w:rsid w:val="00C93391"/>
    <w:rsid w:val="00CB0664"/>
    <w:rsid w:val="00CB170A"/>
    <w:rsid w:val="00CC188A"/>
    <w:rsid w:val="00CC2310"/>
    <w:rsid w:val="00CE6676"/>
    <w:rsid w:val="00D07BC0"/>
    <w:rsid w:val="00D14B3C"/>
    <w:rsid w:val="00D17901"/>
    <w:rsid w:val="00D20AC0"/>
    <w:rsid w:val="00D33E38"/>
    <w:rsid w:val="00D533F1"/>
    <w:rsid w:val="00D56670"/>
    <w:rsid w:val="00D715BE"/>
    <w:rsid w:val="00D85AE6"/>
    <w:rsid w:val="00D9282E"/>
    <w:rsid w:val="00D9466A"/>
    <w:rsid w:val="00DA0B9E"/>
    <w:rsid w:val="00DA5B66"/>
    <w:rsid w:val="00DC7F7A"/>
    <w:rsid w:val="00DD79F8"/>
    <w:rsid w:val="00DE4023"/>
    <w:rsid w:val="00DF4D6F"/>
    <w:rsid w:val="00DF59ED"/>
    <w:rsid w:val="00E21919"/>
    <w:rsid w:val="00E35A67"/>
    <w:rsid w:val="00E44BA2"/>
    <w:rsid w:val="00E4645C"/>
    <w:rsid w:val="00E4655E"/>
    <w:rsid w:val="00E555FA"/>
    <w:rsid w:val="00E556CC"/>
    <w:rsid w:val="00E56518"/>
    <w:rsid w:val="00E619A5"/>
    <w:rsid w:val="00E622C5"/>
    <w:rsid w:val="00E70C2E"/>
    <w:rsid w:val="00E756C3"/>
    <w:rsid w:val="00E77426"/>
    <w:rsid w:val="00E8579E"/>
    <w:rsid w:val="00E970F9"/>
    <w:rsid w:val="00EA067D"/>
    <w:rsid w:val="00EB3DC8"/>
    <w:rsid w:val="00EC64C8"/>
    <w:rsid w:val="00EC67A0"/>
    <w:rsid w:val="00ED5E6E"/>
    <w:rsid w:val="00EE743E"/>
    <w:rsid w:val="00EF2D66"/>
    <w:rsid w:val="00EF5E98"/>
    <w:rsid w:val="00F00103"/>
    <w:rsid w:val="00F01233"/>
    <w:rsid w:val="00F07EE0"/>
    <w:rsid w:val="00F12051"/>
    <w:rsid w:val="00F13A3B"/>
    <w:rsid w:val="00F168C9"/>
    <w:rsid w:val="00F525CB"/>
    <w:rsid w:val="00F53EB4"/>
    <w:rsid w:val="00F56059"/>
    <w:rsid w:val="00F7767A"/>
    <w:rsid w:val="00F77C11"/>
    <w:rsid w:val="00F82AF2"/>
    <w:rsid w:val="00FA2634"/>
    <w:rsid w:val="00FC01A0"/>
    <w:rsid w:val="00FC693F"/>
    <w:rsid w:val="00FC7903"/>
    <w:rsid w:val="00FD24C9"/>
    <w:rsid w:val="00FD4331"/>
    <w:rsid w:val="00FF6CC1"/>
    <w:rsid w:val="3AA9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2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6"/>
    <w:unhideWhenUsed/>
    <w:qFormat/>
    <w:uiPriority w:val="99"/>
    <w:pPr>
      <w:spacing w:after="120"/>
    </w:pPr>
  </w:style>
  <w:style w:type="paragraph" w:styleId="14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8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20">
    <w:name w:val="HTML Code"/>
    <w:basedOn w:val="11"/>
    <w:semiHidden/>
    <w:unhideWhenUsed/>
    <w:uiPriority w:val="99"/>
    <w:rPr>
      <w:rFonts w:ascii="Courier New" w:hAnsi="Courier New" w:eastAsia="Times New Roman" w:cs="Courier New"/>
      <w:sz w:val="20"/>
      <w:szCs w:val="20"/>
    </w:rPr>
  </w:style>
  <w:style w:type="paragraph" w:styleId="21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3"/>
    <w:basedOn w:val="1"/>
    <w:unhideWhenUsed/>
    <w:uiPriority w:val="99"/>
    <w:pPr>
      <w:ind w:left="1080" w:hanging="360"/>
      <w:contextualSpacing/>
    </w:pPr>
  </w:style>
  <w:style w:type="paragraph" w:styleId="24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5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6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7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8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9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0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1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2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3">
    <w:name w:val="macro"/>
    <w:link w:val="1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34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35">
    <w:name w:val="Strong"/>
    <w:basedOn w:val="11"/>
    <w:qFormat/>
    <w:uiPriority w:val="22"/>
    <w:rPr>
      <w:b/>
      <w:bCs/>
    </w:rPr>
  </w:style>
  <w:style w:type="paragraph" w:styleId="36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7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8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9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40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1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2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3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4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5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6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7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8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9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50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1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2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3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4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5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6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7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8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9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60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6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7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4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5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6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7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8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9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80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81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7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8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9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90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91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2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3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4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5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1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2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3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4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5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6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7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8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9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0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1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2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3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4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5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6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0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3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4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5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6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7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8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9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30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31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2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3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4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5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6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7">
    <w:name w:val="Header Char"/>
    <w:basedOn w:val="11"/>
    <w:link w:val="19"/>
    <w:uiPriority w:val="99"/>
  </w:style>
  <w:style w:type="character" w:customStyle="1" w:styleId="138">
    <w:name w:val="Footer Char"/>
    <w:basedOn w:val="11"/>
    <w:link w:val="18"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1"/>
    <w:link w:val="38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1"/>
    <w:link w:val="3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1"/>
    <w:link w:val="13"/>
    <w:qFormat/>
    <w:uiPriority w:val="99"/>
  </w:style>
  <w:style w:type="character" w:customStyle="1" w:styleId="147">
    <w:name w:val="Body Text 2 Char"/>
    <w:basedOn w:val="11"/>
    <w:link w:val="14"/>
    <w:uiPriority w:val="99"/>
  </w:style>
  <w:style w:type="character" w:customStyle="1" w:styleId="148">
    <w:name w:val="Body Text 3 Char"/>
    <w:basedOn w:val="11"/>
    <w:link w:val="15"/>
    <w:uiPriority w:val="99"/>
    <w:rPr>
      <w:sz w:val="16"/>
      <w:szCs w:val="16"/>
    </w:rPr>
  </w:style>
  <w:style w:type="character" w:customStyle="1" w:styleId="149">
    <w:name w:val="Macro Text Char"/>
    <w:basedOn w:val="11"/>
    <w:link w:val="33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1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1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166">
    <w:name w:val="overflow-hidden"/>
    <w:basedOn w:val="11"/>
    <w:qFormat/>
    <w:uiPriority w:val="0"/>
  </w:style>
  <w:style w:type="paragraph" w:customStyle="1" w:styleId="167">
    <w:name w:val="HTML Top of Form"/>
    <w:basedOn w:val="1"/>
    <w:next w:val="1"/>
    <w:link w:val="168"/>
    <w:semiHidden/>
    <w:unhideWhenUsed/>
    <w:qFormat/>
    <w:uiPriority w:val="99"/>
    <w:pPr>
      <w:pBdr>
        <w:bottom w:val="single" w:color="auto" w:sz="6" w:space="1"/>
      </w:pBdr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</w:rPr>
  </w:style>
  <w:style w:type="character" w:customStyle="1" w:styleId="168">
    <w:name w:val="z-Top of Form Char"/>
    <w:basedOn w:val="11"/>
    <w:link w:val="167"/>
    <w:semiHidden/>
    <w:uiPriority w:val="99"/>
    <w:rPr>
      <w:rFonts w:ascii="Arial" w:hAnsi="Arial" w:eastAsia="Times New Roman" w:cs="Arial"/>
      <w:vanish/>
      <w:sz w:val="16"/>
      <w:szCs w:val="16"/>
    </w:rPr>
  </w:style>
  <w:style w:type="paragraph" w:customStyle="1" w:styleId="169">
    <w:name w:val="HTML Bottom of Form"/>
    <w:basedOn w:val="1"/>
    <w:next w:val="1"/>
    <w:link w:val="170"/>
    <w:semiHidden/>
    <w:unhideWhenUsed/>
    <w:uiPriority w:val="99"/>
    <w:pPr>
      <w:pBdr>
        <w:top w:val="single" w:color="auto" w:sz="6" w:space="1"/>
      </w:pBdr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</w:rPr>
  </w:style>
  <w:style w:type="character" w:customStyle="1" w:styleId="170">
    <w:name w:val="z-Bottom of Form Char"/>
    <w:basedOn w:val="11"/>
    <w:link w:val="169"/>
    <w:semiHidden/>
    <w:qFormat/>
    <w:uiPriority w:val="99"/>
    <w:rPr>
      <w:rFonts w:ascii="Arial" w:hAnsi="Arial" w:eastAsia="Times New Roman" w:cs="Arial"/>
      <w:vanish/>
      <w:sz w:val="16"/>
      <w:szCs w:val="16"/>
    </w:rPr>
  </w:style>
  <w:style w:type="character" w:customStyle="1" w:styleId="171">
    <w:name w:val="_fadein_4f9by_7"/>
    <w:basedOn w:val="11"/>
    <w:uiPriority w:val="0"/>
  </w:style>
  <w:style w:type="paragraph" w:customStyle="1" w:styleId="172">
    <w:name w:val="hidden!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73">
    <w:name w:val="katex"/>
    <w:basedOn w:val="11"/>
    <w:qFormat/>
    <w:uiPriority w:val="0"/>
  </w:style>
  <w:style w:type="character" w:customStyle="1" w:styleId="174">
    <w:name w:val="katex-mathml"/>
    <w:basedOn w:val="11"/>
    <w:qFormat/>
    <w:uiPriority w:val="0"/>
  </w:style>
  <w:style w:type="character" w:customStyle="1" w:styleId="175">
    <w:name w:val="katex-html"/>
    <w:basedOn w:val="11"/>
    <w:uiPriority w:val="0"/>
  </w:style>
  <w:style w:type="character" w:customStyle="1" w:styleId="176">
    <w:name w:val="base"/>
    <w:basedOn w:val="11"/>
    <w:qFormat/>
    <w:uiPriority w:val="0"/>
  </w:style>
  <w:style w:type="character" w:customStyle="1" w:styleId="177">
    <w:name w:val="strut"/>
    <w:basedOn w:val="11"/>
    <w:uiPriority w:val="0"/>
  </w:style>
  <w:style w:type="character" w:customStyle="1" w:styleId="178">
    <w:name w:val="mord"/>
    <w:basedOn w:val="11"/>
    <w:uiPriority w:val="0"/>
  </w:style>
  <w:style w:type="character" w:customStyle="1" w:styleId="179">
    <w:name w:val="msupsub"/>
    <w:basedOn w:val="11"/>
    <w:uiPriority w:val="0"/>
  </w:style>
  <w:style w:type="character" w:customStyle="1" w:styleId="180">
    <w:name w:val="vlist-t"/>
    <w:basedOn w:val="11"/>
    <w:qFormat/>
    <w:uiPriority w:val="0"/>
  </w:style>
  <w:style w:type="character" w:customStyle="1" w:styleId="181">
    <w:name w:val="vlist-r"/>
    <w:basedOn w:val="11"/>
    <w:qFormat/>
    <w:uiPriority w:val="0"/>
  </w:style>
  <w:style w:type="character" w:customStyle="1" w:styleId="182">
    <w:name w:val="vlist"/>
    <w:basedOn w:val="11"/>
    <w:qFormat/>
    <w:uiPriority w:val="0"/>
  </w:style>
  <w:style w:type="character" w:customStyle="1" w:styleId="183">
    <w:name w:val="pstrut"/>
    <w:basedOn w:val="11"/>
    <w:uiPriority w:val="0"/>
  </w:style>
  <w:style w:type="character" w:customStyle="1" w:styleId="184">
    <w:name w:val="sizing"/>
    <w:basedOn w:val="11"/>
    <w:uiPriority w:val="0"/>
  </w:style>
  <w:style w:type="character" w:customStyle="1" w:styleId="185">
    <w:name w:val="mopen"/>
    <w:basedOn w:val="11"/>
    <w:uiPriority w:val="0"/>
  </w:style>
  <w:style w:type="character" w:customStyle="1" w:styleId="186">
    <w:name w:val="mfrac"/>
    <w:basedOn w:val="11"/>
    <w:uiPriority w:val="0"/>
  </w:style>
  <w:style w:type="character" w:customStyle="1" w:styleId="187">
    <w:name w:val="mbin"/>
    <w:basedOn w:val="11"/>
    <w:qFormat/>
    <w:uiPriority w:val="0"/>
  </w:style>
  <w:style w:type="character" w:customStyle="1" w:styleId="188">
    <w:name w:val="frac-line"/>
    <w:basedOn w:val="11"/>
    <w:qFormat/>
    <w:uiPriority w:val="0"/>
  </w:style>
  <w:style w:type="character" w:customStyle="1" w:styleId="189">
    <w:name w:val="vlist-s"/>
    <w:basedOn w:val="11"/>
    <w:uiPriority w:val="0"/>
  </w:style>
  <w:style w:type="character" w:customStyle="1" w:styleId="190">
    <w:name w:val="mclose"/>
    <w:basedOn w:val="11"/>
    <w:uiPriority w:val="0"/>
  </w:style>
  <w:style w:type="character" w:customStyle="1" w:styleId="191">
    <w:name w:val="mop"/>
    <w:basedOn w:val="11"/>
    <w:qFormat/>
    <w:uiPriority w:val="0"/>
  </w:style>
  <w:style w:type="character" w:customStyle="1" w:styleId="192">
    <w:name w:val="mspace"/>
    <w:basedOn w:val="11"/>
    <w:uiPriority w:val="0"/>
  </w:style>
  <w:style w:type="character" w:customStyle="1" w:styleId="193">
    <w:name w:val="mrel"/>
    <w:basedOn w:val="11"/>
    <w:uiPriority w:val="0"/>
  </w:style>
  <w:style w:type="character" w:customStyle="1" w:styleId="194">
    <w:name w:val="mtight"/>
    <w:basedOn w:val="11"/>
    <w:qFormat/>
    <w:uiPriority w:val="0"/>
  </w:style>
  <w:style w:type="character" w:customStyle="1" w:styleId="195">
    <w:name w:val="svg-align"/>
    <w:basedOn w:val="11"/>
    <w:qFormat/>
    <w:uiPriority w:val="0"/>
  </w:style>
  <w:style w:type="character" w:customStyle="1" w:styleId="196">
    <w:name w:val="hide-tail"/>
    <w:basedOn w:val="11"/>
    <w:qFormat/>
    <w:uiPriority w:val="0"/>
  </w:style>
  <w:style w:type="character" w:customStyle="1" w:styleId="197">
    <w:name w:val="delimsizing"/>
    <w:basedOn w:val="11"/>
    <w:uiPriority w:val="0"/>
  </w:style>
  <w:style w:type="character" w:customStyle="1" w:styleId="198">
    <w:name w:val="mpunct"/>
    <w:basedOn w:val="11"/>
    <w:qFormat/>
    <w:uiPriority w:val="0"/>
  </w:style>
  <w:style w:type="paragraph" w:customStyle="1" w:styleId="199">
    <w:name w:val="placeholder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E678D37-5F31-4259-BE61-A3E92CD28B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41</Pages>
  <Words>7080</Words>
  <Characters>40357</Characters>
  <Lines>336</Lines>
  <Paragraphs>94</Paragraphs>
  <TotalTime>126</TotalTime>
  <ScaleCrop>false</ScaleCrop>
  <LinksUpToDate>false</LinksUpToDate>
  <CharactersWithSpaces>47343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2025-05-13T12:33:00Z</dcterms:created>
  <dc:creator>python-docx</dc:creator>
  <dc:description>generated by python-docx</dc:description>
  <cp:lastModifiedBy>user</cp:lastModifiedBy>
  <dcterms:modified xsi:type="dcterms:W3CDTF">2025-05-14T15:17:33Z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9DD4171F818A4E689782DB372B724806_12</vt:lpwstr>
  </property>
</Properties>
</file>